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2FBB" w14:textId="3C395A16" w:rsidR="00D371BC" w:rsidRPr="00A60A3F" w:rsidRDefault="00D371BC" w:rsidP="005F3330">
      <w:pPr>
        <w:jc w:val="both"/>
        <w:rPr>
          <w:b/>
          <w:bCs/>
          <w:u w:val="single"/>
        </w:rPr>
      </w:pPr>
      <w:bookmarkStart w:id="0" w:name="_Hlk219022237"/>
      <w:r w:rsidRPr="00D371BC">
        <w:rPr>
          <w:b/>
          <w:bCs/>
          <w:u w:val="single"/>
        </w:rPr>
        <w:t xml:space="preserve">Summary of Bills LAIN </w:t>
      </w:r>
      <w:r w:rsidR="000A7BA3">
        <w:rPr>
          <w:b/>
          <w:bCs/>
          <w:u w:val="single"/>
        </w:rPr>
        <w:t xml:space="preserve">followed / worked on from the </w:t>
      </w:r>
      <w:r w:rsidRPr="00D371BC">
        <w:rPr>
          <w:b/>
          <w:bCs/>
          <w:u w:val="single"/>
        </w:rPr>
        <w:t>2026 Indiana General Assembly</w:t>
      </w:r>
    </w:p>
    <w:p w14:paraId="03B24503" w14:textId="6779EDDC" w:rsidR="00D5503A" w:rsidRDefault="00D5503A" w:rsidP="005F3330">
      <w:pPr>
        <w:jc w:val="both"/>
        <w:rPr>
          <w:u w:val="single"/>
        </w:rPr>
      </w:pPr>
      <w:r w:rsidRPr="00D371BC">
        <w:rPr>
          <w:u w:val="single"/>
        </w:rPr>
        <w:t xml:space="preserve">House Bills – 435 filed </w:t>
      </w:r>
    </w:p>
    <w:p w14:paraId="01F95FAC" w14:textId="20547221" w:rsidR="000A7BA3" w:rsidRDefault="000A7BA3" w:rsidP="005F3330">
      <w:pPr>
        <w:jc w:val="both"/>
        <w:rPr>
          <w:u w:val="single"/>
        </w:rPr>
      </w:pPr>
      <w:r>
        <w:rPr>
          <w:u w:val="single"/>
        </w:rPr>
        <w:t xml:space="preserve">Bills that passed </w:t>
      </w:r>
    </w:p>
    <w:p w14:paraId="1657F7BA" w14:textId="62AB196D" w:rsidR="008E3DBE" w:rsidRDefault="00F512B6" w:rsidP="005F3330">
      <w:pPr>
        <w:jc w:val="both"/>
        <w:rPr>
          <w:rFonts w:cstheme="minorHAnsi"/>
        </w:rPr>
      </w:pPr>
      <w:r>
        <w:t>**</w:t>
      </w:r>
      <w:hyperlink r:id="rId7" w:history="1">
        <w:r w:rsidR="00D5503A" w:rsidRPr="00D5503A">
          <w:rPr>
            <w:rStyle w:val="Hyperlink"/>
          </w:rPr>
          <w:t>HB 1210: Department of local government finance.</w:t>
        </w:r>
      </w:hyperlink>
      <w:r w:rsidR="00D5503A">
        <w:t xml:space="preserve"> </w:t>
      </w:r>
      <w:r w:rsidR="00D371BC" w:rsidRPr="00477E3D">
        <w:rPr>
          <w:rFonts w:cstheme="minorHAnsi"/>
        </w:rPr>
        <w:t xml:space="preserve"> </w:t>
      </w:r>
    </w:p>
    <w:p w14:paraId="75E772A9" w14:textId="7A14525C" w:rsidR="00D5503A" w:rsidRPr="00DE4BAB" w:rsidRDefault="008E3DBE" w:rsidP="005F3330">
      <w:pPr>
        <w:jc w:val="both"/>
        <w:rPr>
          <w:rFonts w:cstheme="minorHAnsi"/>
        </w:rPr>
      </w:pPr>
      <w:r>
        <w:rPr>
          <w:rFonts w:cstheme="minorHAnsi"/>
        </w:rPr>
        <w:t xml:space="preserve">This Bill </w:t>
      </w:r>
      <w:r w:rsidR="00D371BC" w:rsidRPr="00477E3D">
        <w:rPr>
          <w:rFonts w:cstheme="minorHAnsi"/>
        </w:rPr>
        <w:t xml:space="preserve">contains </w:t>
      </w:r>
      <w:r>
        <w:rPr>
          <w:rFonts w:cstheme="minorHAnsi"/>
        </w:rPr>
        <w:t>the</w:t>
      </w:r>
      <w:r w:rsidR="00D371BC" w:rsidRPr="00477E3D">
        <w:rPr>
          <w:rFonts w:cstheme="minorHAnsi"/>
        </w:rPr>
        <w:t xml:space="preserve"> Property Tax </w:t>
      </w:r>
      <w:r w:rsidR="000A7BA3" w:rsidRPr="00477E3D">
        <w:rPr>
          <w:rFonts w:cstheme="minorHAnsi"/>
        </w:rPr>
        <w:t>Exemption</w:t>
      </w:r>
      <w:r w:rsidR="00D371BC" w:rsidRPr="00477E3D">
        <w:rPr>
          <w:rFonts w:cstheme="minorHAnsi"/>
        </w:rPr>
        <w:t xml:space="preserve"> language</w:t>
      </w:r>
      <w:r>
        <w:rPr>
          <w:rFonts w:cstheme="minorHAnsi"/>
        </w:rPr>
        <w:t xml:space="preserve"> we have been working on for years</w:t>
      </w:r>
      <w:r w:rsidR="000A7BA3">
        <w:rPr>
          <w:rFonts w:cstheme="minorHAnsi"/>
        </w:rPr>
        <w:t xml:space="preserve">.  We achieved </w:t>
      </w:r>
      <w:r>
        <w:rPr>
          <w:rFonts w:cstheme="minorHAnsi"/>
        </w:rPr>
        <w:t xml:space="preserve">permanent and comprehensive exempt status for </w:t>
      </w:r>
      <w:r w:rsidR="000A7BA3">
        <w:rPr>
          <w:rFonts w:cstheme="minorHAnsi"/>
        </w:rPr>
        <w:t xml:space="preserve">all (and all parts of) </w:t>
      </w:r>
      <w:r>
        <w:rPr>
          <w:rFonts w:cstheme="minorHAnsi"/>
        </w:rPr>
        <w:t xml:space="preserve">our </w:t>
      </w:r>
      <w:r w:rsidR="006F3235">
        <w:rPr>
          <w:rFonts w:cstheme="minorHAnsi"/>
        </w:rPr>
        <w:t>not-for-profit</w:t>
      </w:r>
      <w:r>
        <w:rPr>
          <w:rFonts w:cstheme="minorHAnsi"/>
        </w:rPr>
        <w:t xml:space="preserve"> LTC </w:t>
      </w:r>
      <w:r w:rsidRPr="00DE4BAB">
        <w:rPr>
          <w:rFonts w:cstheme="minorHAnsi"/>
        </w:rPr>
        <w:t xml:space="preserve">providers.  </w:t>
      </w:r>
      <w:r w:rsidR="00D371BC" w:rsidRPr="00DE4BAB">
        <w:rPr>
          <w:rFonts w:cstheme="minorHAnsi"/>
        </w:rPr>
        <w:t xml:space="preserve">   </w:t>
      </w:r>
    </w:p>
    <w:p w14:paraId="2A0B4105" w14:textId="78A88396" w:rsidR="00E340C6" w:rsidRPr="00DE4BAB" w:rsidRDefault="00E340C6" w:rsidP="005F3330">
      <w:pPr>
        <w:jc w:val="both"/>
        <w:rPr>
          <w:rFonts w:cstheme="minorHAnsi"/>
        </w:rPr>
      </w:pPr>
      <w:hyperlink r:id="rId8" w:history="1">
        <w:r w:rsidRPr="00DE4BAB">
          <w:rPr>
            <w:rStyle w:val="Hyperlink"/>
          </w:rPr>
          <w:t>HB 1249: Juvenile court jurisdiction.</w:t>
        </w:r>
      </w:hyperlink>
      <w:r w:rsidRPr="00DE4BAB">
        <w:t xml:space="preserve">  </w:t>
      </w:r>
    </w:p>
    <w:p w14:paraId="719CDE5B" w14:textId="11BFF91A" w:rsidR="00E340C6" w:rsidRPr="00DE4BAB" w:rsidRDefault="006F3235" w:rsidP="005F3330">
      <w:pPr>
        <w:jc w:val="both"/>
      </w:pPr>
      <w:r>
        <w:t xml:space="preserve">Includes </w:t>
      </w:r>
      <w:r w:rsidR="00E340C6" w:rsidRPr="00DE4BAB">
        <w:t>language that expands protections for healthcare workers subject to workplace violence</w:t>
      </w:r>
      <w:r w:rsidR="000A7BA3">
        <w:t xml:space="preserve">, and </w:t>
      </w:r>
      <w:r w:rsidR="000A7BA3">
        <w:t>penalties against</w:t>
      </w:r>
      <w:r w:rsidR="000A7BA3">
        <w:t xml:space="preserve"> perpetrators. </w:t>
      </w:r>
      <w:r w:rsidR="00E340C6" w:rsidRPr="00DE4BAB">
        <w:t xml:space="preserve">   </w:t>
      </w:r>
    </w:p>
    <w:p w14:paraId="23BDA23B" w14:textId="0CC4138B" w:rsidR="00F512B6" w:rsidRPr="00DE4BAB" w:rsidRDefault="00F512B6" w:rsidP="005F3330">
      <w:pPr>
        <w:jc w:val="both"/>
        <w:rPr>
          <w:rFonts w:cstheme="minorHAnsi"/>
        </w:rPr>
      </w:pPr>
      <w:hyperlink r:id="rId9" w:history="1">
        <w:r w:rsidRPr="00DE4BAB">
          <w:rPr>
            <w:rStyle w:val="Hyperlink"/>
            <w:rFonts w:cstheme="minorHAnsi"/>
          </w:rPr>
          <w:t>HB 1271: Payment of health claims.</w:t>
        </w:r>
      </w:hyperlink>
      <w:r w:rsidRPr="00DE4BAB">
        <w:rPr>
          <w:rFonts w:cstheme="minorHAnsi"/>
        </w:rPr>
        <w:t xml:space="preserve">  </w:t>
      </w:r>
    </w:p>
    <w:p w14:paraId="74D65E17" w14:textId="5BFBAE9B" w:rsidR="00894B41" w:rsidRPr="00DE4BAB" w:rsidRDefault="00E340C6" w:rsidP="005F3330">
      <w:pPr>
        <w:jc w:val="both"/>
      </w:pPr>
      <w:r w:rsidRPr="00DE4BAB">
        <w:t xml:space="preserve">Among other things, </w:t>
      </w:r>
      <w:proofErr w:type="gramStart"/>
      <w:r w:rsidRPr="00DE4BAB">
        <w:t>p</w:t>
      </w:r>
      <w:r w:rsidR="00894B41" w:rsidRPr="00DE4BAB">
        <w:t>rohibits</w:t>
      </w:r>
      <w:proofErr w:type="gramEnd"/>
      <w:r w:rsidR="00894B41" w:rsidRPr="00DE4BAB">
        <w:t xml:space="preserve"> the use of downcoding in a specified manner. Prohibits a provider from using an automated process, system, or tool to submit a health benefits claim without the review of a provider or other person involved in the development of the claim for submission. Prohibits an insurer that issues a policy of accident and sickness insurance (insurer) and a health maintenance organization from retroactively reducing the reimbursement rate for any CPT code. Sets forth limitations on the time frame in which an insurer and a health maintenance organization: (1) may request repayment of an overpayment, adjust a subsequent claim, recoup a paid claim, or retroactively audit a paid claim; and (2) is required to correct a payment error to a provider. Provides that if an insurer or a health maintenance organization recoups payment from a provider due to an error in coordination of benefits, the provider may submit a claim for the same services to the appropriate insurer or health maintenance organization. </w:t>
      </w:r>
    </w:p>
    <w:p w14:paraId="5906F2B2" w14:textId="592E7EB5" w:rsidR="006F3235" w:rsidRDefault="00F512B6" w:rsidP="006F3235">
      <w:pPr>
        <w:jc w:val="both"/>
        <w:rPr>
          <w:rFonts w:cstheme="minorHAnsi"/>
        </w:rPr>
      </w:pPr>
      <w:r w:rsidRPr="00DE4BAB">
        <w:t>**</w:t>
      </w:r>
      <w:hyperlink r:id="rId10" w:history="1">
        <w:r w:rsidR="00D5503A" w:rsidRPr="00DE4BAB">
          <w:rPr>
            <w:rStyle w:val="Hyperlink"/>
          </w:rPr>
          <w:t>HB 1277: Long term care.</w:t>
        </w:r>
      </w:hyperlink>
      <w:r w:rsidR="00D5503A" w:rsidRPr="00DE4BAB">
        <w:t xml:space="preserve"> </w:t>
      </w:r>
    </w:p>
    <w:p w14:paraId="7A998135" w14:textId="77777777" w:rsidR="006F3235" w:rsidRDefault="006F3235" w:rsidP="006F3235">
      <w:pPr>
        <w:pStyle w:val="ListParagraph"/>
        <w:numPr>
          <w:ilvl w:val="0"/>
          <w:numId w:val="3"/>
        </w:numPr>
      </w:pPr>
      <w:r>
        <w:t xml:space="preserve">Changes the </w:t>
      </w:r>
      <w:r w:rsidRPr="00733C49">
        <w:t xml:space="preserve">duties of the office of </w:t>
      </w:r>
      <w:r>
        <w:t>FSSA (office) con</w:t>
      </w:r>
      <w:r w:rsidRPr="00733C49">
        <w:t xml:space="preserve">cerning </w:t>
      </w:r>
      <w:r>
        <w:t xml:space="preserve">the </w:t>
      </w:r>
      <w:r w:rsidRPr="00733C49">
        <w:t xml:space="preserve">Medicaid </w:t>
      </w:r>
      <w:r>
        <w:t xml:space="preserve">HCBS </w:t>
      </w:r>
      <w:r w:rsidRPr="00733C49">
        <w:t xml:space="preserve">based services waivers (waiver). </w:t>
      </w:r>
    </w:p>
    <w:p w14:paraId="6DFED9B1" w14:textId="77777777" w:rsidR="006F3235" w:rsidRDefault="006F3235" w:rsidP="006F3235">
      <w:pPr>
        <w:pStyle w:val="ListParagraph"/>
        <w:numPr>
          <w:ilvl w:val="0"/>
          <w:numId w:val="3"/>
        </w:numPr>
      </w:pPr>
      <w:r w:rsidRPr="00733C49">
        <w:t xml:space="preserve">Requires: (1) a provider of waiver services to provide certain documentation to a waiver recipient; (2) a waiver recipient to review the documentation and report errors or inconsistencies; and (3) the recipient's case manager to </w:t>
      </w:r>
      <w:proofErr w:type="gramStart"/>
      <w:r w:rsidRPr="00733C49">
        <w:t>provide assistance to</w:t>
      </w:r>
      <w:proofErr w:type="gramEnd"/>
      <w:r w:rsidRPr="00733C49">
        <w:t xml:space="preserve"> the recipient in reviewing the documentation and reporting any errors or inconsistencies. </w:t>
      </w:r>
    </w:p>
    <w:p w14:paraId="64F25CDA" w14:textId="77777777" w:rsidR="006F3235" w:rsidRDefault="006F3235" w:rsidP="006F3235">
      <w:pPr>
        <w:pStyle w:val="ListParagraph"/>
        <w:numPr>
          <w:ilvl w:val="0"/>
          <w:numId w:val="3"/>
        </w:numPr>
      </w:pPr>
      <w:r w:rsidRPr="00733C49">
        <w:t>Requires certain Medicaid recipients to choose the recipient's provider of integrated health care coordinatio</w:t>
      </w:r>
      <w:r>
        <w:t xml:space="preserve">n (IHCC) [this is a notable change].  </w:t>
      </w:r>
    </w:p>
    <w:p w14:paraId="40E0F348" w14:textId="77777777" w:rsidR="006F3235" w:rsidRDefault="006F3235" w:rsidP="006F3235">
      <w:pPr>
        <w:pStyle w:val="ListParagraph"/>
        <w:numPr>
          <w:ilvl w:val="0"/>
          <w:numId w:val="3"/>
        </w:numPr>
      </w:pPr>
      <w:r w:rsidRPr="00733C49">
        <w:lastRenderedPageBreak/>
        <w:t xml:space="preserve">Provides that </w:t>
      </w:r>
      <w:r>
        <w:t xml:space="preserve">IHCC </w:t>
      </w:r>
      <w:r w:rsidRPr="00733C49">
        <w:t xml:space="preserve">provided by a provider of assisted living services is not duplicative of certain other services. </w:t>
      </w:r>
    </w:p>
    <w:p w14:paraId="10E1F411" w14:textId="77777777" w:rsidR="006F3235" w:rsidRDefault="006F3235" w:rsidP="006F3235">
      <w:pPr>
        <w:pStyle w:val="ListParagraph"/>
        <w:numPr>
          <w:ilvl w:val="0"/>
          <w:numId w:val="3"/>
        </w:numPr>
      </w:pPr>
      <w:r w:rsidRPr="00733C49">
        <w:t xml:space="preserve">Establishes a time frame </w:t>
      </w:r>
      <w:r>
        <w:t xml:space="preserve">(45 days) </w:t>
      </w:r>
      <w:r w:rsidRPr="00733C49">
        <w:t xml:space="preserve">in which the bureau of disabilities services must review and approve or deny requests for an increase in service units provided to certain individuals with a disability. </w:t>
      </w:r>
    </w:p>
    <w:p w14:paraId="475CDAA9" w14:textId="77777777" w:rsidR="006F3235" w:rsidRDefault="006F3235" w:rsidP="006F3235">
      <w:pPr>
        <w:pStyle w:val="ListParagraph"/>
        <w:numPr>
          <w:ilvl w:val="0"/>
          <w:numId w:val="3"/>
        </w:numPr>
      </w:pPr>
      <w:r w:rsidRPr="00733C49">
        <w:t xml:space="preserve">Requires the office to apply to the federal government for: (1) a new </w:t>
      </w:r>
      <w:r>
        <w:t xml:space="preserve">[and separate] </w:t>
      </w:r>
      <w:r w:rsidRPr="00733C49">
        <w:t xml:space="preserve">Medicaid waiver to provide assisted living services; and (2) an amendment to a specific Medicaid </w:t>
      </w:r>
      <w:r>
        <w:t xml:space="preserve">HCBS </w:t>
      </w:r>
      <w:r w:rsidRPr="00733C49">
        <w:t xml:space="preserve">waiver to establish an individual cost limit of not more than the institutional cost of nursing facility services. Specifies that provisions concerning reimbursement for assisted living services for individuals who are aged and disabled and receiving services under a Medicaid waiver apply to the new assisted living Medicaid waiver. </w:t>
      </w:r>
    </w:p>
    <w:p w14:paraId="503D5EDC" w14:textId="77777777" w:rsidR="006F3235" w:rsidRDefault="006F3235" w:rsidP="006F3235">
      <w:pPr>
        <w:pStyle w:val="ListParagraph"/>
        <w:numPr>
          <w:ilvl w:val="0"/>
          <w:numId w:val="3"/>
        </w:numPr>
      </w:pPr>
      <w:r>
        <w:t>**</w:t>
      </w:r>
      <w:r w:rsidRPr="00733C49">
        <w:t xml:space="preserve">Provides that, beginning July 1, 2027, an individual is no longer a member of the covered population upon receiving nursing facility services for 100 consecutive days. Provides that on the one hundredth day, the individual is not a member of the covered population and shall receive Medicaid services under a fee for service program. </w:t>
      </w:r>
    </w:p>
    <w:p w14:paraId="1FE6F669" w14:textId="5D6CF31D" w:rsidR="00D5503A" w:rsidRPr="006F3235" w:rsidRDefault="006F3235" w:rsidP="006F3235">
      <w:pPr>
        <w:pStyle w:val="ListParagraph"/>
        <w:numPr>
          <w:ilvl w:val="0"/>
          <w:numId w:val="3"/>
        </w:numPr>
        <w:jc w:val="both"/>
        <w:rPr>
          <w:rFonts w:cstheme="minorHAnsi"/>
        </w:rPr>
      </w:pPr>
      <w:r w:rsidRPr="00733C49">
        <w:t>Provides that a provision prohibiting the office from reducing reimbursement for home health services expires June 30, 2027. Requires the office to collaborate with certain entities to develop a new reimbursement methodology for home health services. Specifies that public notice of at least six months (rather than one year) must be provided before a health facility service reimbursement that results in a reduction in reimbursement may be changed.</w:t>
      </w:r>
      <w:r w:rsidR="00D5503A" w:rsidRPr="00D5503A">
        <w:t xml:space="preserve"> </w:t>
      </w:r>
    </w:p>
    <w:p w14:paraId="1F2CC8AE" w14:textId="67BFBCF8" w:rsidR="00F512B6" w:rsidRDefault="00D5503A" w:rsidP="005F3330">
      <w:pPr>
        <w:jc w:val="both"/>
        <w:rPr>
          <w:rFonts w:cstheme="minorHAnsi"/>
        </w:rPr>
      </w:pPr>
      <w:hyperlink r:id="rId11" w:history="1">
        <w:r w:rsidRPr="00D5503A">
          <w:rPr>
            <w:rStyle w:val="Hyperlink"/>
          </w:rPr>
          <w:t>HB 1358: Indiana department of health.</w:t>
        </w:r>
      </w:hyperlink>
      <w:r>
        <w:t xml:space="preserve"> </w:t>
      </w:r>
    </w:p>
    <w:p w14:paraId="7931CBDA" w14:textId="30052AB5" w:rsidR="00F512B6" w:rsidRDefault="00894B41" w:rsidP="005F3330">
      <w:pPr>
        <w:jc w:val="both"/>
      </w:pPr>
      <w:r>
        <w:t>Among other things, r</w:t>
      </w:r>
      <w:r w:rsidRPr="00894B41">
        <w:t xml:space="preserve">emoves a requirement that a home health aide competency evaluation program </w:t>
      </w:r>
      <w:proofErr w:type="gramStart"/>
      <w:r w:rsidRPr="00894B41">
        <w:t>include</w:t>
      </w:r>
      <w:proofErr w:type="gramEnd"/>
      <w:r w:rsidRPr="00894B41">
        <w:t xml:space="preserve"> at least 75 hours of training and 16 hours of classroom training before supervised practical training. Adds Parkinson's disease to the definition of "chronic disease" for provisions concerning the chronic disease registry. Requires: (1) the state department to maintain a trauma registry; and (2) certain health care facilities to submit data to the registry. </w:t>
      </w:r>
    </w:p>
    <w:p w14:paraId="2362AD7D" w14:textId="39DCF34A" w:rsidR="00F512B6" w:rsidRDefault="00F512B6" w:rsidP="000A7BA3">
      <w:pPr>
        <w:jc w:val="center"/>
      </w:pPr>
      <w:r>
        <w:t>***</w:t>
      </w:r>
    </w:p>
    <w:p w14:paraId="316DA085" w14:textId="230A0CA2" w:rsidR="00D5503A" w:rsidRPr="00D371BC" w:rsidRDefault="00D5503A" w:rsidP="005F3330">
      <w:pPr>
        <w:jc w:val="both"/>
        <w:rPr>
          <w:u w:val="single"/>
        </w:rPr>
      </w:pPr>
      <w:r w:rsidRPr="00D371BC">
        <w:rPr>
          <w:u w:val="single"/>
        </w:rPr>
        <w:t xml:space="preserve">Senate Bill – </w:t>
      </w:r>
      <w:r w:rsidR="00D371BC" w:rsidRPr="00D371BC">
        <w:rPr>
          <w:u w:val="single"/>
        </w:rPr>
        <w:t>290+</w:t>
      </w:r>
      <w:r w:rsidRPr="00D371BC">
        <w:rPr>
          <w:u w:val="single"/>
        </w:rPr>
        <w:t xml:space="preserve"> filed</w:t>
      </w:r>
    </w:p>
    <w:p w14:paraId="25F0D382" w14:textId="41C1606B" w:rsidR="00D5503A" w:rsidRDefault="00D5503A" w:rsidP="005F3330">
      <w:pPr>
        <w:jc w:val="both"/>
      </w:pPr>
      <w:hyperlink r:id="rId12" w:history="1">
        <w:r w:rsidRPr="00D5503A">
          <w:rPr>
            <w:rStyle w:val="Hyperlink"/>
          </w:rPr>
          <w:t>SB 1: Human services matters.</w:t>
        </w:r>
      </w:hyperlink>
      <w:r w:rsidR="00D371BC">
        <w:t xml:space="preserve"> </w:t>
      </w:r>
    </w:p>
    <w:p w14:paraId="767AD12A" w14:textId="6B0CE67C" w:rsidR="00D5503A" w:rsidRDefault="00894B41" w:rsidP="005F3330">
      <w:pPr>
        <w:jc w:val="both"/>
      </w:pPr>
      <w:r>
        <w:t>Among other things relative to the other (non-PathWays) Medicaid programs, e</w:t>
      </w:r>
      <w:r w:rsidRPr="00894B41">
        <w:t xml:space="preserve">stablishes the Indiana rural health transformation fund and makes allotments and expenditures from the fund subject to budget committee review before the allotment and expenditure may occur. </w:t>
      </w:r>
      <w:r w:rsidRPr="00894B41">
        <w:lastRenderedPageBreak/>
        <w:t>Requires the office of the secretary of family and social services to report biannually to the budget committee concerning the use of the money in the fund</w:t>
      </w:r>
      <w:r w:rsidR="00D5503A" w:rsidRPr="00D5503A">
        <w:t>. </w:t>
      </w:r>
    </w:p>
    <w:p w14:paraId="4D41C00A" w14:textId="09B722A3" w:rsidR="00894B41" w:rsidRDefault="00D5503A" w:rsidP="005F3330">
      <w:pPr>
        <w:jc w:val="both"/>
        <w:rPr>
          <w:rFonts w:cstheme="minorHAnsi"/>
        </w:rPr>
      </w:pPr>
      <w:hyperlink r:id="rId13" w:history="1">
        <w:r w:rsidRPr="00D5503A">
          <w:rPr>
            <w:rStyle w:val="Hyperlink"/>
          </w:rPr>
          <w:t>SB 180: Various health care matters.</w:t>
        </w:r>
      </w:hyperlink>
      <w:r w:rsidR="00D371BC" w:rsidRPr="00D371BC">
        <w:rPr>
          <w:rFonts w:cstheme="minorHAnsi"/>
        </w:rPr>
        <w:t xml:space="preserve"> </w:t>
      </w:r>
    </w:p>
    <w:p w14:paraId="56429604" w14:textId="374EA58A" w:rsidR="00A8380C" w:rsidRDefault="00A8380C" w:rsidP="005F3330">
      <w:pPr>
        <w:jc w:val="both"/>
      </w:pPr>
      <w:r w:rsidRPr="00A8380C">
        <w:t xml:space="preserve">Eliminates </w:t>
      </w:r>
      <w:proofErr w:type="gramStart"/>
      <w:r w:rsidRPr="00A8380C">
        <w:t>a requirement</w:t>
      </w:r>
      <w:proofErr w:type="gramEnd"/>
      <w:r w:rsidRPr="00A8380C">
        <w:t xml:space="preserve"> that home health aide competency evaluation program training </w:t>
      </w:r>
      <w:proofErr w:type="gramStart"/>
      <w:r w:rsidRPr="00A8380C">
        <w:t>include</w:t>
      </w:r>
      <w:proofErr w:type="gramEnd"/>
      <w:r w:rsidRPr="00A8380C">
        <w:t xml:space="preserve"> at least 75 hours of training and 16 hours of classroom training before supervised practical training. </w:t>
      </w:r>
      <w:r w:rsidR="000A7BA3">
        <w:t xml:space="preserve">… </w:t>
      </w:r>
      <w:r w:rsidRPr="00A8380C">
        <w:t xml:space="preserve">Amends the licensure and temporary permit requirements for respiratory care practitioners. </w:t>
      </w:r>
      <w:r w:rsidR="00894B41">
        <w:t xml:space="preserve">… </w:t>
      </w:r>
    </w:p>
    <w:p w14:paraId="5E8B6C9E" w14:textId="5F3169AF" w:rsidR="00D5503A" w:rsidRDefault="00D5503A" w:rsidP="005F3330">
      <w:pPr>
        <w:jc w:val="both"/>
      </w:pPr>
      <w:hyperlink r:id="rId14" w:history="1">
        <w:r w:rsidRPr="00D5503A">
          <w:rPr>
            <w:rStyle w:val="Hyperlink"/>
          </w:rPr>
          <w:t>SB 222: Family and social services administration matters.</w:t>
        </w:r>
      </w:hyperlink>
      <w:r w:rsidR="00D371BC">
        <w:t xml:space="preserve"> </w:t>
      </w:r>
    </w:p>
    <w:p w14:paraId="7A4CEC78" w14:textId="32FCDF62" w:rsidR="00D371BC" w:rsidRDefault="00D5503A" w:rsidP="005F3330">
      <w:pPr>
        <w:jc w:val="both"/>
      </w:pPr>
      <w:r w:rsidRPr="00D5503A">
        <w:t xml:space="preserve">Amends the definition of "qualified provider" concerning the Medicaid program. </w:t>
      </w:r>
      <w:r w:rsidR="00E340C6">
        <w:t xml:space="preserve"> … </w:t>
      </w:r>
      <w:r w:rsidRPr="00D5503A">
        <w:t xml:space="preserve">Changes the name of the division of disability and rehabilitative services to the division of disability, aging, and rehabilitative services. Repeals the division of aging and moves existing statutes and administrative rules to other locations. Renames the bureau of aging and in-home services to the bureau of better aging (bureau) and designates the bureau to perform certain duties once performed by the division of aging. </w:t>
      </w:r>
      <w:bookmarkEnd w:id="0"/>
      <w:r w:rsidRPr="00D5503A">
        <w:t xml:space="preserve">Eliminates the requirement of a preferred drug list report. </w:t>
      </w:r>
    </w:p>
    <w:p w14:paraId="4914BCD0" w14:textId="77777777" w:rsidR="000A7BA3" w:rsidRDefault="000A7BA3" w:rsidP="005F3330">
      <w:pPr>
        <w:jc w:val="both"/>
      </w:pPr>
    </w:p>
    <w:p w14:paraId="0B4153BE" w14:textId="725A4C6A" w:rsidR="00D371BC" w:rsidRDefault="00FC76A7" w:rsidP="000A7BA3">
      <w:pPr>
        <w:jc w:val="center"/>
      </w:pPr>
      <w:r>
        <w:t>***</w:t>
      </w:r>
    </w:p>
    <w:p w14:paraId="1F06C89E" w14:textId="77777777" w:rsidR="000A7BA3" w:rsidRDefault="000A7BA3" w:rsidP="000A7BA3">
      <w:pPr>
        <w:jc w:val="center"/>
      </w:pPr>
    </w:p>
    <w:p w14:paraId="7AABC032" w14:textId="2A72FA02" w:rsidR="008E3DBE" w:rsidRPr="000A7BA3" w:rsidRDefault="008E3DBE" w:rsidP="005F3330">
      <w:pPr>
        <w:jc w:val="both"/>
        <w:rPr>
          <w:u w:val="single"/>
        </w:rPr>
      </w:pPr>
      <w:r w:rsidRPr="000A7BA3">
        <w:rPr>
          <w:u w:val="single"/>
        </w:rPr>
        <w:t>Inactive Bills</w:t>
      </w:r>
      <w:r w:rsidR="000A7BA3" w:rsidRPr="000A7BA3">
        <w:rPr>
          <w:u w:val="single"/>
        </w:rPr>
        <w:t>/ Bills that did not make it to the end</w:t>
      </w:r>
      <w:r w:rsidRPr="000A7BA3">
        <w:rPr>
          <w:u w:val="single"/>
        </w:rPr>
        <w:t xml:space="preserve">: </w:t>
      </w:r>
    </w:p>
    <w:p w14:paraId="125C8CBC" w14:textId="788291B3" w:rsidR="008E3DBE" w:rsidRDefault="00FC76A7" w:rsidP="005F3330">
      <w:pPr>
        <w:jc w:val="both"/>
      </w:pPr>
      <w:r>
        <w:t>House:</w:t>
      </w:r>
    </w:p>
    <w:p w14:paraId="24125903" w14:textId="445AB7FC" w:rsidR="008E3DBE" w:rsidRDefault="008E3DBE" w:rsidP="005F3330">
      <w:pPr>
        <w:jc w:val="both"/>
      </w:pPr>
      <w:hyperlink r:id="rId15" w:history="1">
        <w:r w:rsidRPr="00D5503A">
          <w:rPr>
            <w:rStyle w:val="Hyperlink"/>
          </w:rPr>
          <w:t>HB 1012: Medicaid matters.</w:t>
        </w:r>
      </w:hyperlink>
      <w:r>
        <w:t xml:space="preserve"> </w:t>
      </w:r>
    </w:p>
    <w:p w14:paraId="6EEDA107" w14:textId="77777777" w:rsidR="008E3DBE" w:rsidRDefault="008E3DBE" w:rsidP="005F3330">
      <w:pPr>
        <w:jc w:val="both"/>
      </w:pPr>
      <w:r w:rsidRPr="00D5503A">
        <w:t xml:space="preserve">Amends the duties of the office of the </w:t>
      </w:r>
      <w:proofErr w:type="gramStart"/>
      <w:r w:rsidRPr="00D5503A">
        <w:t>secretary of family</w:t>
      </w:r>
      <w:proofErr w:type="gramEnd"/>
      <w:r w:rsidRPr="00D5503A">
        <w:t xml:space="preserve"> and social services (office) concerning home and </w:t>
      </w:r>
      <w:proofErr w:type="gramStart"/>
      <w:r w:rsidRPr="00D5503A">
        <w:t>community based</w:t>
      </w:r>
      <w:proofErr w:type="gramEnd"/>
      <w:r w:rsidRPr="00D5503A">
        <w:t xml:space="preserve"> services waivers (</w:t>
      </w:r>
      <w:proofErr w:type="gramStart"/>
      <w:r w:rsidRPr="00D5503A">
        <w:t>waiver</w:t>
      </w:r>
      <w:proofErr w:type="gramEnd"/>
      <w:r w:rsidRPr="00D5503A">
        <w:t xml:space="preserve">). Requires a waiver recipient to review the recipient's monthly statement and report errors or inconsistencies. Requires a provider of waiver services to provide a recipient and the recipient's care coordinator with certain billing statements. Establishes the home and </w:t>
      </w:r>
      <w:proofErr w:type="gramStart"/>
      <w:r w:rsidRPr="00D5503A">
        <w:t>community based</w:t>
      </w:r>
      <w:proofErr w:type="gramEnd"/>
      <w:r w:rsidRPr="00D5503A">
        <w:t xml:space="preserve"> services waiver waiting list assistance fund (fund) to provide individuals on a waiver waiting list with access to certain supports. Provides that when the office determines an individual is ineligible for Medicaid, the office shall provide the specific reason for determining the individual is ineligible. Provides that appropriations in the budget bill for Medicaid </w:t>
      </w:r>
      <w:proofErr w:type="gramStart"/>
      <w:r w:rsidRPr="00D5503A">
        <w:t>assistance that</w:t>
      </w:r>
      <w:proofErr w:type="gramEnd"/>
      <w:r w:rsidRPr="00D5503A">
        <w:t xml:space="preserve"> are budgeted for a waiver that </w:t>
      </w:r>
      <w:proofErr w:type="gramStart"/>
      <w:r w:rsidRPr="00D5503A">
        <w:t>remain</w:t>
      </w:r>
      <w:proofErr w:type="gramEnd"/>
      <w:r w:rsidRPr="00D5503A">
        <w:t xml:space="preserve"> unexpended and unencumbered at the close of the state fiscal year and that would otherwise lapse and be returned to the state general fund do not revert to the state general </w:t>
      </w:r>
      <w:proofErr w:type="gramStart"/>
      <w:r w:rsidRPr="00D5503A">
        <w:t>fund, but</w:t>
      </w:r>
      <w:proofErr w:type="gramEnd"/>
      <w:r w:rsidRPr="00D5503A">
        <w:t xml:space="preserve"> instead shall be deposited in the fund.</w:t>
      </w:r>
    </w:p>
    <w:p w14:paraId="31D723DF" w14:textId="675119E2" w:rsidR="008E3DBE" w:rsidRDefault="008E3DBE" w:rsidP="005F3330">
      <w:pPr>
        <w:jc w:val="both"/>
      </w:pPr>
      <w:hyperlink r:id="rId16" w:history="1">
        <w:r w:rsidRPr="00D5503A">
          <w:rPr>
            <w:rStyle w:val="Hyperlink"/>
          </w:rPr>
          <w:t xml:space="preserve">HB 1162: Medicaid </w:t>
        </w:r>
        <w:proofErr w:type="gramStart"/>
        <w:r w:rsidRPr="00D5503A">
          <w:rPr>
            <w:rStyle w:val="Hyperlink"/>
          </w:rPr>
          <w:t>waiver</w:t>
        </w:r>
        <w:proofErr w:type="gramEnd"/>
        <w:r w:rsidRPr="00D5503A">
          <w:rPr>
            <w:rStyle w:val="Hyperlink"/>
          </w:rPr>
          <w:t xml:space="preserve"> direct care staff compensation.</w:t>
        </w:r>
      </w:hyperlink>
      <w:r>
        <w:t xml:space="preserve"> </w:t>
      </w:r>
    </w:p>
    <w:p w14:paraId="2587E560" w14:textId="77777777" w:rsidR="008E3DBE" w:rsidRDefault="008E3DBE" w:rsidP="005F3330">
      <w:pPr>
        <w:jc w:val="both"/>
      </w:pPr>
      <w:r w:rsidRPr="00D5503A">
        <w:t xml:space="preserve">Sets </w:t>
      </w:r>
      <w:proofErr w:type="gramStart"/>
      <w:r w:rsidRPr="00D5503A">
        <w:t>forth</w:t>
      </w:r>
      <w:proofErr w:type="gramEnd"/>
      <w:r w:rsidRPr="00D5503A">
        <w:t xml:space="preserve"> requirements for a home and </w:t>
      </w:r>
      <w:proofErr w:type="gramStart"/>
      <w:r w:rsidRPr="00D5503A">
        <w:t>community based</w:t>
      </w:r>
      <w:proofErr w:type="gramEnd"/>
      <w:r w:rsidRPr="00D5503A">
        <w:t xml:space="preserve"> services attendant care service Medicaid provider to meet in the use of the state fund share of Medicaid reimbursement for compensation of direct care staff. Requires the provider to submit a cost report annually to verify compliance. </w:t>
      </w:r>
    </w:p>
    <w:p w14:paraId="697752AA" w14:textId="2D5ADD0D" w:rsidR="008E3DBE" w:rsidRDefault="008E3DBE" w:rsidP="005F3330">
      <w:pPr>
        <w:jc w:val="both"/>
      </w:pPr>
      <w:hyperlink r:id="rId17" w:history="1">
        <w:r w:rsidRPr="00D5503A">
          <w:rPr>
            <w:rStyle w:val="Hyperlink"/>
          </w:rPr>
          <w:t>HB 1180: Health facility matters.</w:t>
        </w:r>
      </w:hyperlink>
      <w:r>
        <w:t xml:space="preserve"> </w:t>
      </w:r>
    </w:p>
    <w:p w14:paraId="21AB25D7" w14:textId="77777777" w:rsidR="008E3DBE" w:rsidRDefault="008E3DBE" w:rsidP="005F3330">
      <w:pPr>
        <w:jc w:val="both"/>
      </w:pPr>
      <w:r w:rsidRPr="00D5503A">
        <w:t xml:space="preserve">Requires the state health commissioner to establish a work group to study methods of reducing and preventing health facility resident neglect and submit a report to the general assembly. Requires a health facility to do the following: (1) Designate at least one employee to act as a family advocacy liaison. (2) Establish an independent </w:t>
      </w:r>
      <w:proofErr w:type="gramStart"/>
      <w:r w:rsidRPr="00D5503A">
        <w:t>third party</w:t>
      </w:r>
      <w:proofErr w:type="gramEnd"/>
      <w:r w:rsidRPr="00D5503A">
        <w:t xml:space="preserve"> review process for written resident or other individual complaints alleging neglect of a resident. (3) Offer grief support to the family of a deceased resident. Prohibits a health facility from taking retaliatory action against an employee because the employee: (1) discloses actions or practices by the health facility that the employee reasonably believes </w:t>
      </w:r>
      <w:proofErr w:type="gramStart"/>
      <w:r w:rsidRPr="00D5503A">
        <w:t>violate</w:t>
      </w:r>
      <w:proofErr w:type="gramEnd"/>
      <w:r w:rsidRPr="00D5503A">
        <w:t xml:space="preserve"> state or federal law; (2) provides information or testifies in investigations or hearings; or (3) assists or participates in proceedings to enforce state law. Urges the legislative council to assign to an appropriate interim committee during the 2026 interim the study of requiring health facilities to meet certain staff-to-patient ratios.</w:t>
      </w:r>
    </w:p>
    <w:p w14:paraId="22947A7D" w14:textId="11DF0F6C" w:rsidR="008E3DBE" w:rsidRDefault="008E3DBE" w:rsidP="005F3330">
      <w:pPr>
        <w:jc w:val="both"/>
      </w:pPr>
      <w:hyperlink r:id="rId18" w:history="1">
        <w:r w:rsidRPr="00D5503A">
          <w:rPr>
            <w:rStyle w:val="Hyperlink"/>
          </w:rPr>
          <w:t xml:space="preserve">HB 1212: Medicaid coverage for </w:t>
        </w:r>
        <w:proofErr w:type="gramStart"/>
        <w:r w:rsidRPr="00D5503A">
          <w:rPr>
            <w:rStyle w:val="Hyperlink"/>
          </w:rPr>
          <w:t>health related</w:t>
        </w:r>
        <w:proofErr w:type="gramEnd"/>
        <w:r w:rsidRPr="00D5503A">
          <w:rPr>
            <w:rStyle w:val="Hyperlink"/>
          </w:rPr>
          <w:t xml:space="preserve"> social needs.</w:t>
        </w:r>
      </w:hyperlink>
      <w:r>
        <w:t xml:space="preserve"> </w:t>
      </w:r>
    </w:p>
    <w:p w14:paraId="352BD006" w14:textId="77777777" w:rsidR="008E3DBE" w:rsidRDefault="008E3DBE" w:rsidP="005F3330">
      <w:pPr>
        <w:jc w:val="both"/>
      </w:pPr>
      <w:r w:rsidRPr="00D5503A">
        <w:t xml:space="preserve">Requires the office of the secretary of family and social services to apply, not later than October 1, 2026, for approval of a Section 1115 Medicaid demonstration waiver to provide coverage for </w:t>
      </w:r>
      <w:proofErr w:type="gramStart"/>
      <w:r w:rsidRPr="00D5503A">
        <w:t>health related</w:t>
      </w:r>
      <w:proofErr w:type="gramEnd"/>
      <w:r w:rsidRPr="00D5503A">
        <w:t xml:space="preserve"> social needs. </w:t>
      </w:r>
    </w:p>
    <w:p w14:paraId="021D50B8" w14:textId="355F5197" w:rsidR="008E3DBE" w:rsidRPr="00D371BC" w:rsidRDefault="008E3DBE" w:rsidP="005F3330">
      <w:pPr>
        <w:tabs>
          <w:tab w:val="left" w:pos="0"/>
        </w:tabs>
        <w:jc w:val="both"/>
        <w:rPr>
          <w:rFonts w:cstheme="minorHAnsi"/>
        </w:rPr>
      </w:pPr>
      <w:hyperlink r:id="rId19" w:history="1">
        <w:r w:rsidRPr="00D5503A">
          <w:rPr>
            <w:rStyle w:val="Hyperlink"/>
          </w:rPr>
          <w:t>HB 1365: FSSA report on managed care organization contracts.</w:t>
        </w:r>
      </w:hyperlink>
      <w:r>
        <w:t xml:space="preserve"> </w:t>
      </w:r>
    </w:p>
    <w:p w14:paraId="39AE4B3B" w14:textId="77777777" w:rsidR="008E3DBE" w:rsidRDefault="008E3DBE" w:rsidP="005F3330">
      <w:pPr>
        <w:jc w:val="both"/>
      </w:pPr>
      <w:r w:rsidRPr="00D5503A">
        <w:t xml:space="preserve">Requires the office of the </w:t>
      </w:r>
      <w:proofErr w:type="gramStart"/>
      <w:r w:rsidRPr="00D5503A">
        <w:t>secretary of family and social services</w:t>
      </w:r>
      <w:proofErr w:type="gramEnd"/>
      <w:r w:rsidRPr="00D5503A">
        <w:t xml:space="preserve"> to, not later than March 1, 2026, provide a written report to the budget committee with specified information concerning any termination of a managed care organization's Medicaid contract in 2025. </w:t>
      </w:r>
    </w:p>
    <w:p w14:paraId="42EF157D" w14:textId="24C9DFE7" w:rsidR="008E3DBE" w:rsidRDefault="008E3DBE" w:rsidP="005F3330">
      <w:pPr>
        <w:jc w:val="both"/>
      </w:pPr>
      <w:hyperlink r:id="rId20" w:history="1">
        <w:r w:rsidRPr="00D5503A">
          <w:rPr>
            <w:rStyle w:val="Hyperlink"/>
          </w:rPr>
          <w:t>HB 1395: Hospice care.</w:t>
        </w:r>
      </w:hyperlink>
      <w:r>
        <w:t xml:space="preserve"> </w:t>
      </w:r>
    </w:p>
    <w:p w14:paraId="7875A629" w14:textId="5474763E" w:rsidR="00A8380C" w:rsidRDefault="008E3DBE" w:rsidP="005F3330">
      <w:pPr>
        <w:pBdr>
          <w:bottom w:val="single" w:sz="12" w:space="31" w:color="auto"/>
        </w:pBdr>
        <w:jc w:val="both"/>
      </w:pPr>
      <w:r w:rsidRPr="00D5503A">
        <w:t xml:space="preserve">Prohibits a health facility from including in a contract </w:t>
      </w:r>
      <w:proofErr w:type="gramStart"/>
      <w:r w:rsidRPr="00D5503A">
        <w:t>entered into</w:t>
      </w:r>
      <w:proofErr w:type="gramEnd"/>
      <w:r w:rsidRPr="00D5503A">
        <w:t>, renewed, or amended after June 30, 2026, a provision prohibiting a person from transferring a resident to a different facility for hospice care.</w:t>
      </w:r>
    </w:p>
    <w:p w14:paraId="0B75CCEB" w14:textId="441C7CEF" w:rsidR="00A8380C" w:rsidRDefault="00A8380C" w:rsidP="005F3330">
      <w:pPr>
        <w:jc w:val="both"/>
      </w:pPr>
      <w:r>
        <w:t xml:space="preserve">Senate: </w:t>
      </w:r>
    </w:p>
    <w:p w14:paraId="5F217E5D" w14:textId="39CE76E1" w:rsidR="00A8380C" w:rsidRDefault="00A8380C" w:rsidP="005F3330">
      <w:pPr>
        <w:jc w:val="both"/>
      </w:pPr>
      <w:hyperlink r:id="rId21" w:history="1">
        <w:r w:rsidRPr="00D5503A">
          <w:rPr>
            <w:rStyle w:val="Hyperlink"/>
          </w:rPr>
          <w:t>SB 60: Advanced practice registered nurses.</w:t>
        </w:r>
      </w:hyperlink>
      <w:r>
        <w:t xml:space="preserve"> </w:t>
      </w:r>
    </w:p>
    <w:p w14:paraId="04017F93" w14:textId="13F1AEE0" w:rsidR="00A8380C" w:rsidRDefault="00A8380C" w:rsidP="005F3330">
      <w:pPr>
        <w:jc w:val="both"/>
      </w:pPr>
      <w:r w:rsidRPr="00D5503A">
        <w:t xml:space="preserve">Removes the requirement that an advanced practice registered nurse (APRN) have a practice agreement with a collaborating physician. Removes a provision requiring an APRN to operate under a collaborative practice agreement or the privileges granted by a hospital governing board. Removes certain provisions concerning the audit of practice agreements. Allows an APRN with prescriptive authority to prescribe a </w:t>
      </w:r>
      <w:proofErr w:type="gramStart"/>
      <w:r w:rsidRPr="00D5503A">
        <w:t>schedule II controlled</w:t>
      </w:r>
      <w:proofErr w:type="gramEnd"/>
      <w:r w:rsidRPr="00D5503A">
        <w:t xml:space="preserve"> substance for weight reduction or to control obesity. Makes conforming changes. </w:t>
      </w:r>
    </w:p>
    <w:p w14:paraId="42BC5FF5" w14:textId="32C2DE2F" w:rsidR="00894B41" w:rsidRDefault="00894B41" w:rsidP="005F3330">
      <w:pPr>
        <w:jc w:val="both"/>
      </w:pPr>
      <w:hyperlink r:id="rId22" w:history="1">
        <w:r w:rsidRPr="00D5503A">
          <w:rPr>
            <w:rStyle w:val="Hyperlink"/>
          </w:rPr>
          <w:t>SB 85: Health care debt and costs.</w:t>
        </w:r>
      </w:hyperlink>
      <w:r>
        <w:t xml:space="preserve"> </w:t>
      </w:r>
    </w:p>
    <w:p w14:paraId="4FBA224E" w14:textId="77777777" w:rsidR="00894B41" w:rsidRDefault="00894B41" w:rsidP="005F3330">
      <w:pPr>
        <w:jc w:val="both"/>
      </w:pPr>
      <w:r w:rsidRPr="00D5503A">
        <w:t xml:space="preserve">Authorizes the attorney general to enforce provisions concerning wage garnishment and principal residence lien restrictions and establish a complaint process. Requires hospitals to do the following: (1) Offer a person who meets certain income guidelines and has received health services the opportunity to pay the charges through a payment plan that satisfies certain requirements. (2) Develop a written notice about a charity care program operated by the hospital, provide the notice to patients, and post the notice. (3) Include certain information concerning financial assistance </w:t>
      </w:r>
      <w:proofErr w:type="gramStart"/>
      <w:r w:rsidRPr="00D5503A">
        <w:t>on</w:t>
      </w:r>
      <w:proofErr w:type="gramEnd"/>
      <w:r w:rsidRPr="00D5503A">
        <w:t xml:space="preserve"> a billing statement. (4) Requires a hospital that reports an annual gross patient revenue of at least $20,000,000 to provide written notice and information to a person who has requested an eligibility determination concerning a payment plan or charity care. Provides that the unpaid earnings of a consumer who meets specified income eligibility requirements may not be attached by garnishment if an individual makes 200% of the federal income poverty level or less, and limits the amount to be garnished over a certain amount of the individual's disposable earnings in satisfaction of: (1) health care debt owed or alleged to be owed by the consumer; or (2) any amount of the judgment that represents health care debt determined to be owed by the consumer. Provides that: (1) health care debt owed or alleged to be owed by a consumer; or (2) in an action against a consumer in which a judgment has been entered, the amount of the judgment that represents health care debt determined to be owed by the consumer; does not constitute a lien against the consumer's principal residence for a consumer. Provides that in any action filed in Indiana for the recovery of health care debt owed or alleged to be owed by a consumer, the principal residence of the consumer is not liable to judgment or attachment or to be sold on execution against the consumer</w:t>
      </w:r>
      <w:r>
        <w:t xml:space="preserve">. </w:t>
      </w:r>
    </w:p>
    <w:p w14:paraId="6CB64829" w14:textId="1AA06DA8" w:rsidR="00A8380C" w:rsidRPr="00D371BC" w:rsidRDefault="00A8380C" w:rsidP="005F3330">
      <w:pPr>
        <w:tabs>
          <w:tab w:val="left" w:pos="0"/>
        </w:tabs>
        <w:jc w:val="both"/>
        <w:rPr>
          <w:rFonts w:cstheme="minorHAnsi"/>
        </w:rPr>
      </w:pPr>
      <w:hyperlink r:id="rId23" w:history="1">
        <w:r w:rsidRPr="00D5503A">
          <w:rPr>
            <w:rStyle w:val="Hyperlink"/>
          </w:rPr>
          <w:t>SB 116: Medicaid matters.</w:t>
        </w:r>
      </w:hyperlink>
      <w:r>
        <w:t xml:space="preserve"> </w:t>
      </w:r>
    </w:p>
    <w:p w14:paraId="2F4EBB2B" w14:textId="4D9E1C63" w:rsidR="00FC76A7" w:rsidRDefault="00A8380C" w:rsidP="005F3330">
      <w:pPr>
        <w:jc w:val="both"/>
      </w:pPr>
      <w:r w:rsidRPr="00D5503A">
        <w:t xml:space="preserve">Requires the office of the secretary of family and social services (office) to post information concerning the criteria for being determined to be medically frail and examples of notices on the office's website. Specifies requirements for a notice of Medicaid termination. Requires the office and managed care organizations to review all timely submitted information in a </w:t>
      </w:r>
      <w:r w:rsidRPr="00D5503A">
        <w:lastRenderedPageBreak/>
        <w:t xml:space="preserve">Medicaid redetermination before terminating coverage of a recipient. Requires a managed care organization to report information concerning: (1) claim denials under the Medicaid program on a quarterly basis; and (2) certain information </w:t>
      </w:r>
      <w:proofErr w:type="gramStart"/>
      <w:r w:rsidRPr="00D5503A">
        <w:t>on a monthly basis</w:t>
      </w:r>
      <w:proofErr w:type="gramEnd"/>
      <w:r w:rsidRPr="00D5503A">
        <w:t>. Requires the office to post the reports on the office's website. Provides that the healthy Indiana plan includes at least 30 days of retroactive coverage</w:t>
      </w:r>
      <w:r>
        <w:t>.</w:t>
      </w:r>
    </w:p>
    <w:p w14:paraId="6CD28062" w14:textId="42FAEC79" w:rsidR="00A8380C" w:rsidRDefault="00A8380C" w:rsidP="005F3330">
      <w:pPr>
        <w:jc w:val="both"/>
      </w:pPr>
      <w:hyperlink r:id="rId24" w:history="1">
        <w:r w:rsidRPr="00D5503A">
          <w:rPr>
            <w:rStyle w:val="Hyperlink"/>
          </w:rPr>
          <w:t>SB 173: Health care matters.</w:t>
        </w:r>
      </w:hyperlink>
      <w:r>
        <w:t xml:space="preserve"> </w:t>
      </w:r>
    </w:p>
    <w:p w14:paraId="629427A3" w14:textId="53780D0B" w:rsidR="00A8380C" w:rsidRDefault="00A8380C" w:rsidP="005F3330">
      <w:pPr>
        <w:jc w:val="both"/>
      </w:pPr>
      <w:r w:rsidRPr="00D5503A">
        <w:t xml:space="preserve">Prohibits: (1) the state employee health plan; (2) the Medicaid program; (3) an accident and sickness insurance policy; and (4) a health maintenance organization individual or group contract; from imposing a time limit on the amount of anesthesia time for a medical procedure or otherwise restricting or excluding coverage or payment of anesthesia time. Modifies the definitions of "charity care" and "community benefits" for purposes of certain hospital reporting requirements. Requires additional reporting of information by nonprofit hospitals to the Indiana department of health (state department). Requires the report to be posted on the nonprofit hospital's website and the state department's website. </w:t>
      </w:r>
      <w:proofErr w:type="gramStart"/>
      <w:r w:rsidRPr="00D5503A">
        <w:t>Increases</w:t>
      </w:r>
      <w:proofErr w:type="gramEnd"/>
      <w:r w:rsidRPr="00D5503A">
        <w:t xml:space="preserve"> the penalty for failure </w:t>
      </w:r>
      <w:proofErr w:type="gramStart"/>
      <w:r w:rsidRPr="00D5503A">
        <w:t>to file</w:t>
      </w:r>
      <w:proofErr w:type="gramEnd"/>
      <w:r w:rsidRPr="00D5503A">
        <w:t xml:space="preserve"> the report and changes the time frame in which the penalty may be assessed. Specifies that any penalty be deposited in the local public health fund</w:t>
      </w:r>
      <w:r w:rsidR="00FC76A7">
        <w:t>…</w:t>
      </w:r>
      <w:r w:rsidRPr="00D5503A">
        <w:t xml:space="preserve">. </w:t>
      </w:r>
      <w:proofErr w:type="gramStart"/>
      <w:r w:rsidRPr="00D5503A">
        <w:t>Removes</w:t>
      </w:r>
      <w:proofErr w:type="gramEnd"/>
      <w:r w:rsidRPr="00D5503A">
        <w:t xml:space="preserve"> provisions prohibiting a physical therapist from performing sharp debridement or spinal manipulation unless acting on the order or referral of a certain type of provider. Prohibits a health carrier from contracting with, entering into an agreement with, or using a pharmacy benefit manager to provide services for certain policies of health insurance coverage if the health carrier has an ownership interest in the pharmacy benefit manager. Provides that a pharmacy benefit manager may not: (1) provide services under a policy of health insurance coverage for a health carrier that has an ownership interest in the pharmacy benefit manager; and (2) have an ownership interest in a pharmacy. Requires a clinical peer to disclose certain information for a </w:t>
      </w:r>
      <w:proofErr w:type="gramStart"/>
      <w:r w:rsidRPr="00D5503A">
        <w:t>peer to peer</w:t>
      </w:r>
      <w:proofErr w:type="gramEnd"/>
      <w:r w:rsidRPr="00D5503A">
        <w:t xml:space="preserve"> review of an adverse determination. Prohibits a utilization review entity from using artificial intelligence as the primary means for making adverse determinations. Prohibits a health insurer from engaging in certain downcoding practices. Authorizes the department of insurance to enforce the downcoding requirements and impose certain penalties for a violation. </w:t>
      </w:r>
    </w:p>
    <w:p w14:paraId="5CCEE7F0" w14:textId="77777777" w:rsidR="006F3235" w:rsidRDefault="006F3235" w:rsidP="006F3235">
      <w:pPr>
        <w:jc w:val="both"/>
        <w:rPr>
          <w:rFonts w:cstheme="minorHAnsi"/>
        </w:rPr>
      </w:pPr>
      <w:hyperlink r:id="rId25" w:history="1">
        <w:r w:rsidRPr="006F3235">
          <w:rPr>
            <w:rStyle w:val="Hyperlink"/>
          </w:rPr>
          <w:t>SB 275: FSSA fiscal matters.</w:t>
        </w:r>
      </w:hyperlink>
      <w:r w:rsidRPr="006F3235">
        <w:t xml:space="preserve"> </w:t>
      </w:r>
      <w:r w:rsidRPr="006F3235">
        <w:rPr>
          <w:rFonts w:cstheme="minorHAnsi"/>
        </w:rPr>
        <w:t>P</w:t>
      </w:r>
      <w:r>
        <w:rPr>
          <w:rFonts w:cstheme="minorHAnsi"/>
        </w:rPr>
        <w:t xml:space="preserve">assed out of both Chambers and is now in Conference Committee.    </w:t>
      </w:r>
      <w:r w:rsidRPr="00477E3D">
        <w:rPr>
          <w:rFonts w:cstheme="minorHAnsi"/>
        </w:rPr>
        <w:t xml:space="preserve">    </w:t>
      </w:r>
    </w:p>
    <w:p w14:paraId="08A4BFB4" w14:textId="77777777" w:rsidR="006F3235" w:rsidRDefault="006F3235" w:rsidP="006F3235">
      <w:pPr>
        <w:jc w:val="both"/>
      </w:pPr>
      <w:r w:rsidRPr="00D8464F">
        <w:t xml:space="preserve">Amends the duties of the office of the </w:t>
      </w:r>
      <w:proofErr w:type="gramStart"/>
      <w:r w:rsidRPr="00D8464F">
        <w:t>secretary of family</w:t>
      </w:r>
      <w:proofErr w:type="gramEnd"/>
      <w:r w:rsidRPr="00D8464F">
        <w:t xml:space="preserve"> and social services (office) concerning home and </w:t>
      </w:r>
      <w:proofErr w:type="gramStart"/>
      <w:r w:rsidRPr="00D8464F">
        <w:t>community based</w:t>
      </w:r>
      <w:proofErr w:type="gramEnd"/>
      <w:r w:rsidRPr="00D8464F">
        <w:t xml:space="preserve"> services waivers (</w:t>
      </w:r>
      <w:proofErr w:type="gramStart"/>
      <w:r w:rsidRPr="00D8464F">
        <w:t>waiver</w:t>
      </w:r>
      <w:proofErr w:type="gramEnd"/>
      <w:r w:rsidRPr="00D8464F">
        <w:t xml:space="preserve">). Requires: (1) a provider of waiver services to provide certain documentation to a waiver recipient; (2) a waiver recipient to review the documentation and report errors or inconsistencies; and (3) the recipient's case manager to </w:t>
      </w:r>
      <w:proofErr w:type="gramStart"/>
      <w:r w:rsidRPr="00D8464F">
        <w:t>provide assistance to</w:t>
      </w:r>
      <w:proofErr w:type="gramEnd"/>
      <w:r w:rsidRPr="00D8464F">
        <w:t xml:space="preserve"> the recipient in reviewing the </w:t>
      </w:r>
      <w:r w:rsidRPr="00D8464F">
        <w:lastRenderedPageBreak/>
        <w:t xml:space="preserve">documentation and reporting any errors or inconsistencies. Establishes a time frame in which the bureau of disabilities services must review and approve or deny requests for an increase in service units provided to certain individuals with a disability. Creates an exemption </w:t>
      </w:r>
      <w:proofErr w:type="gramStart"/>
      <w:r w:rsidRPr="00D8464F">
        <w:t>for</w:t>
      </w:r>
      <w:proofErr w:type="gramEnd"/>
      <w:r w:rsidRPr="00D8464F">
        <w:t xml:space="preserve"> presumptive eligibility standards. </w:t>
      </w:r>
      <w:r w:rsidRPr="00D8464F">
        <w:rPr>
          <w:u w:val="single"/>
        </w:rPr>
        <w:t xml:space="preserve">Provides reimbursement exemptions under certain Medicaid programs when operating under a </w:t>
      </w:r>
      <w:proofErr w:type="gramStart"/>
      <w:r w:rsidRPr="00D8464F">
        <w:rPr>
          <w:u w:val="single"/>
        </w:rPr>
        <w:t>value based</w:t>
      </w:r>
      <w:proofErr w:type="gramEnd"/>
      <w:r w:rsidRPr="00D8464F">
        <w:rPr>
          <w:u w:val="single"/>
        </w:rPr>
        <w:t xml:space="preserve"> health care reimbursement agreement. </w:t>
      </w:r>
      <w:r w:rsidRPr="00D8464F">
        <w:t>Provides that a provision prohibiting the office from reducing reimbursement for home health services expires June 30, 2027. Requires the office to collaborate with certain entities to develop a new reimbursement methodology for home health services. Specifies that public notice of at least six months (rather than one year) must be provided before a health facility service reimbursement that results in a reduction in reimbursement may be changed. Provides that a claim by the estate recovery unit of the office of Medicaid policy and planning (estate recovery unit) is forever barred unless the estate recovery unit files a claim in the court in which the decedent's estate is being administered not later than nine months after the date of death of the decedent.</w:t>
      </w:r>
    </w:p>
    <w:p w14:paraId="1E665D47" w14:textId="77777777" w:rsidR="00A8380C" w:rsidRDefault="00A8380C" w:rsidP="00A8380C"/>
    <w:p w14:paraId="7496565E" w14:textId="4A8A9ECD" w:rsidR="00FC76A7" w:rsidRDefault="00FC76A7" w:rsidP="00FC76A7">
      <w:pPr>
        <w:jc w:val="center"/>
      </w:pPr>
      <w:r>
        <w:t>***</w:t>
      </w:r>
    </w:p>
    <w:sectPr w:rsidR="00FC76A7">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A9C62" w14:textId="77777777" w:rsidR="00E933BB" w:rsidRDefault="00E933BB" w:rsidP="00D5503A">
      <w:pPr>
        <w:spacing w:after="0" w:line="240" w:lineRule="auto"/>
      </w:pPr>
      <w:r>
        <w:separator/>
      </w:r>
    </w:p>
  </w:endnote>
  <w:endnote w:type="continuationSeparator" w:id="0">
    <w:p w14:paraId="5A2F316D" w14:textId="77777777" w:rsidR="00E933BB" w:rsidRDefault="00E933BB" w:rsidP="00D5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13963"/>
      <w:docPartObj>
        <w:docPartGallery w:val="Page Numbers (Bottom of Page)"/>
        <w:docPartUnique/>
      </w:docPartObj>
    </w:sdtPr>
    <w:sdtEndPr>
      <w:rPr>
        <w:noProof/>
      </w:rPr>
    </w:sdtEndPr>
    <w:sdtContent>
      <w:p w14:paraId="786B1B2C" w14:textId="1E7306A2" w:rsidR="00D5503A" w:rsidRDefault="00D55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96736" w14:textId="77777777" w:rsidR="00D5503A" w:rsidRDefault="00D55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33FA7" w14:textId="77777777" w:rsidR="00E933BB" w:rsidRDefault="00E933BB" w:rsidP="00D5503A">
      <w:pPr>
        <w:spacing w:after="0" w:line="240" w:lineRule="auto"/>
      </w:pPr>
      <w:r>
        <w:separator/>
      </w:r>
    </w:p>
  </w:footnote>
  <w:footnote w:type="continuationSeparator" w:id="0">
    <w:p w14:paraId="5BBFE5C4" w14:textId="77777777" w:rsidR="00E933BB" w:rsidRDefault="00E933BB" w:rsidP="00D550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07DD5"/>
    <w:multiLevelType w:val="hybridMultilevel"/>
    <w:tmpl w:val="63B6A5DC"/>
    <w:lvl w:ilvl="0" w:tplc="FFFFFFFF">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07017E0"/>
    <w:multiLevelType w:val="hybridMultilevel"/>
    <w:tmpl w:val="F9A2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4409DF"/>
    <w:multiLevelType w:val="hybridMultilevel"/>
    <w:tmpl w:val="A5A4F2C6"/>
    <w:lvl w:ilvl="0" w:tplc="40F69D32">
      <w:start w:val="1"/>
      <w:numFmt w:val="bullet"/>
      <w:lvlText w:val=""/>
      <w:lvlJc w:val="left"/>
      <w:pPr>
        <w:tabs>
          <w:tab w:val="num" w:pos="720"/>
        </w:tabs>
        <w:ind w:left="720" w:hanging="360"/>
      </w:pPr>
      <w:rPr>
        <w:rFonts w:ascii="Wingdings 3" w:hAnsi="Wingdings 3" w:hint="default"/>
      </w:rPr>
    </w:lvl>
    <w:lvl w:ilvl="1" w:tplc="F5789C9C">
      <w:start w:val="1"/>
      <w:numFmt w:val="bullet"/>
      <w:lvlText w:val=""/>
      <w:lvlJc w:val="left"/>
      <w:pPr>
        <w:tabs>
          <w:tab w:val="num" w:pos="1440"/>
        </w:tabs>
        <w:ind w:left="1440" w:hanging="360"/>
      </w:pPr>
      <w:rPr>
        <w:rFonts w:ascii="Wingdings 3" w:hAnsi="Wingdings 3" w:hint="default"/>
      </w:rPr>
    </w:lvl>
    <w:lvl w:ilvl="2" w:tplc="A61C0798" w:tentative="1">
      <w:start w:val="1"/>
      <w:numFmt w:val="bullet"/>
      <w:lvlText w:val=""/>
      <w:lvlJc w:val="left"/>
      <w:pPr>
        <w:tabs>
          <w:tab w:val="num" w:pos="2160"/>
        </w:tabs>
        <w:ind w:left="2160" w:hanging="360"/>
      </w:pPr>
      <w:rPr>
        <w:rFonts w:ascii="Wingdings 3" w:hAnsi="Wingdings 3" w:hint="default"/>
      </w:rPr>
    </w:lvl>
    <w:lvl w:ilvl="3" w:tplc="9BBAD14C" w:tentative="1">
      <w:start w:val="1"/>
      <w:numFmt w:val="bullet"/>
      <w:lvlText w:val=""/>
      <w:lvlJc w:val="left"/>
      <w:pPr>
        <w:tabs>
          <w:tab w:val="num" w:pos="2880"/>
        </w:tabs>
        <w:ind w:left="2880" w:hanging="360"/>
      </w:pPr>
      <w:rPr>
        <w:rFonts w:ascii="Wingdings 3" w:hAnsi="Wingdings 3" w:hint="default"/>
      </w:rPr>
    </w:lvl>
    <w:lvl w:ilvl="4" w:tplc="D7045936" w:tentative="1">
      <w:start w:val="1"/>
      <w:numFmt w:val="bullet"/>
      <w:lvlText w:val=""/>
      <w:lvlJc w:val="left"/>
      <w:pPr>
        <w:tabs>
          <w:tab w:val="num" w:pos="3600"/>
        </w:tabs>
        <w:ind w:left="3600" w:hanging="360"/>
      </w:pPr>
      <w:rPr>
        <w:rFonts w:ascii="Wingdings 3" w:hAnsi="Wingdings 3" w:hint="default"/>
      </w:rPr>
    </w:lvl>
    <w:lvl w:ilvl="5" w:tplc="D21ABFAC" w:tentative="1">
      <w:start w:val="1"/>
      <w:numFmt w:val="bullet"/>
      <w:lvlText w:val=""/>
      <w:lvlJc w:val="left"/>
      <w:pPr>
        <w:tabs>
          <w:tab w:val="num" w:pos="4320"/>
        </w:tabs>
        <w:ind w:left="4320" w:hanging="360"/>
      </w:pPr>
      <w:rPr>
        <w:rFonts w:ascii="Wingdings 3" w:hAnsi="Wingdings 3" w:hint="default"/>
      </w:rPr>
    </w:lvl>
    <w:lvl w:ilvl="6" w:tplc="A67437B0" w:tentative="1">
      <w:start w:val="1"/>
      <w:numFmt w:val="bullet"/>
      <w:lvlText w:val=""/>
      <w:lvlJc w:val="left"/>
      <w:pPr>
        <w:tabs>
          <w:tab w:val="num" w:pos="5040"/>
        </w:tabs>
        <w:ind w:left="5040" w:hanging="360"/>
      </w:pPr>
      <w:rPr>
        <w:rFonts w:ascii="Wingdings 3" w:hAnsi="Wingdings 3" w:hint="default"/>
      </w:rPr>
    </w:lvl>
    <w:lvl w:ilvl="7" w:tplc="B97A060A" w:tentative="1">
      <w:start w:val="1"/>
      <w:numFmt w:val="bullet"/>
      <w:lvlText w:val=""/>
      <w:lvlJc w:val="left"/>
      <w:pPr>
        <w:tabs>
          <w:tab w:val="num" w:pos="5760"/>
        </w:tabs>
        <w:ind w:left="5760" w:hanging="360"/>
      </w:pPr>
      <w:rPr>
        <w:rFonts w:ascii="Wingdings 3" w:hAnsi="Wingdings 3" w:hint="default"/>
      </w:rPr>
    </w:lvl>
    <w:lvl w:ilvl="8" w:tplc="30A48EA0" w:tentative="1">
      <w:start w:val="1"/>
      <w:numFmt w:val="bullet"/>
      <w:lvlText w:val=""/>
      <w:lvlJc w:val="left"/>
      <w:pPr>
        <w:tabs>
          <w:tab w:val="num" w:pos="6480"/>
        </w:tabs>
        <w:ind w:left="6480" w:hanging="360"/>
      </w:pPr>
      <w:rPr>
        <w:rFonts w:ascii="Wingdings 3" w:hAnsi="Wingdings 3" w:hint="default"/>
      </w:rPr>
    </w:lvl>
  </w:abstractNum>
  <w:num w:numId="1" w16cid:durableId="662478">
    <w:abstractNumId w:val="2"/>
  </w:num>
  <w:num w:numId="2" w16cid:durableId="964120258">
    <w:abstractNumId w:val="0"/>
  </w:num>
  <w:num w:numId="3" w16cid:durableId="435490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3A"/>
    <w:rsid w:val="000A7BA3"/>
    <w:rsid w:val="001F0CAD"/>
    <w:rsid w:val="002C615A"/>
    <w:rsid w:val="002E7DE9"/>
    <w:rsid w:val="004B4650"/>
    <w:rsid w:val="005F3330"/>
    <w:rsid w:val="0064721F"/>
    <w:rsid w:val="006A19B8"/>
    <w:rsid w:val="006F3235"/>
    <w:rsid w:val="0079068E"/>
    <w:rsid w:val="00794A1E"/>
    <w:rsid w:val="00852F2F"/>
    <w:rsid w:val="00894B41"/>
    <w:rsid w:val="008E3DBE"/>
    <w:rsid w:val="00907600"/>
    <w:rsid w:val="009F7888"/>
    <w:rsid w:val="00A60A3F"/>
    <w:rsid w:val="00A8380C"/>
    <w:rsid w:val="00AA2EE9"/>
    <w:rsid w:val="00B03C0D"/>
    <w:rsid w:val="00C87BDD"/>
    <w:rsid w:val="00CC16B2"/>
    <w:rsid w:val="00D371BC"/>
    <w:rsid w:val="00D5503A"/>
    <w:rsid w:val="00D8464F"/>
    <w:rsid w:val="00DE4BAB"/>
    <w:rsid w:val="00E340C6"/>
    <w:rsid w:val="00E933BB"/>
    <w:rsid w:val="00F512B6"/>
    <w:rsid w:val="00FC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9E4FD"/>
  <w15:chartTrackingRefBased/>
  <w15:docId w15:val="{5FAA43F2-B6C0-466F-B7C6-21CFDB73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03A"/>
    <w:rPr>
      <w:rFonts w:eastAsiaTheme="majorEastAsia" w:cstheme="majorBidi"/>
      <w:color w:val="272727" w:themeColor="text1" w:themeTint="D8"/>
    </w:rPr>
  </w:style>
  <w:style w:type="paragraph" w:styleId="Title">
    <w:name w:val="Title"/>
    <w:basedOn w:val="Normal"/>
    <w:next w:val="Normal"/>
    <w:link w:val="TitleChar"/>
    <w:uiPriority w:val="10"/>
    <w:qFormat/>
    <w:rsid w:val="00D55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03A"/>
    <w:pPr>
      <w:spacing w:before="160"/>
      <w:jc w:val="center"/>
    </w:pPr>
    <w:rPr>
      <w:i/>
      <w:iCs/>
      <w:color w:val="404040" w:themeColor="text1" w:themeTint="BF"/>
    </w:rPr>
  </w:style>
  <w:style w:type="character" w:customStyle="1" w:styleId="QuoteChar">
    <w:name w:val="Quote Char"/>
    <w:basedOn w:val="DefaultParagraphFont"/>
    <w:link w:val="Quote"/>
    <w:uiPriority w:val="29"/>
    <w:rsid w:val="00D5503A"/>
    <w:rPr>
      <w:i/>
      <w:iCs/>
      <w:color w:val="404040" w:themeColor="text1" w:themeTint="BF"/>
    </w:rPr>
  </w:style>
  <w:style w:type="paragraph" w:styleId="ListParagraph">
    <w:name w:val="List Paragraph"/>
    <w:basedOn w:val="Normal"/>
    <w:uiPriority w:val="34"/>
    <w:qFormat/>
    <w:rsid w:val="00D5503A"/>
    <w:pPr>
      <w:ind w:left="720"/>
      <w:contextualSpacing/>
    </w:pPr>
  </w:style>
  <w:style w:type="character" w:styleId="IntenseEmphasis">
    <w:name w:val="Intense Emphasis"/>
    <w:basedOn w:val="DefaultParagraphFont"/>
    <w:uiPriority w:val="21"/>
    <w:qFormat/>
    <w:rsid w:val="00D5503A"/>
    <w:rPr>
      <w:i/>
      <w:iCs/>
      <w:color w:val="0F4761" w:themeColor="accent1" w:themeShade="BF"/>
    </w:rPr>
  </w:style>
  <w:style w:type="paragraph" w:styleId="IntenseQuote">
    <w:name w:val="Intense Quote"/>
    <w:basedOn w:val="Normal"/>
    <w:next w:val="Normal"/>
    <w:link w:val="IntenseQuoteChar"/>
    <w:uiPriority w:val="30"/>
    <w:qFormat/>
    <w:rsid w:val="00D55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03A"/>
    <w:rPr>
      <w:i/>
      <w:iCs/>
      <w:color w:val="0F4761" w:themeColor="accent1" w:themeShade="BF"/>
    </w:rPr>
  </w:style>
  <w:style w:type="character" w:styleId="IntenseReference">
    <w:name w:val="Intense Reference"/>
    <w:basedOn w:val="DefaultParagraphFont"/>
    <w:uiPriority w:val="32"/>
    <w:qFormat/>
    <w:rsid w:val="00D5503A"/>
    <w:rPr>
      <w:b/>
      <w:bCs/>
      <w:smallCaps/>
      <w:color w:val="0F4761" w:themeColor="accent1" w:themeShade="BF"/>
      <w:spacing w:val="5"/>
    </w:rPr>
  </w:style>
  <w:style w:type="character" w:styleId="Hyperlink">
    <w:name w:val="Hyperlink"/>
    <w:basedOn w:val="DefaultParagraphFont"/>
    <w:uiPriority w:val="99"/>
    <w:unhideWhenUsed/>
    <w:rsid w:val="00D5503A"/>
    <w:rPr>
      <w:color w:val="467886" w:themeColor="hyperlink"/>
      <w:u w:val="single"/>
    </w:rPr>
  </w:style>
  <w:style w:type="character" w:styleId="UnresolvedMention">
    <w:name w:val="Unresolved Mention"/>
    <w:basedOn w:val="DefaultParagraphFont"/>
    <w:uiPriority w:val="99"/>
    <w:semiHidden/>
    <w:unhideWhenUsed/>
    <w:rsid w:val="00D5503A"/>
    <w:rPr>
      <w:color w:val="605E5C"/>
      <w:shd w:val="clear" w:color="auto" w:fill="E1DFDD"/>
    </w:rPr>
  </w:style>
  <w:style w:type="paragraph" w:styleId="Header">
    <w:name w:val="header"/>
    <w:basedOn w:val="Normal"/>
    <w:link w:val="HeaderChar"/>
    <w:uiPriority w:val="99"/>
    <w:unhideWhenUsed/>
    <w:rsid w:val="00D55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03A"/>
  </w:style>
  <w:style w:type="paragraph" w:styleId="Footer">
    <w:name w:val="footer"/>
    <w:basedOn w:val="Normal"/>
    <w:link w:val="FooterChar"/>
    <w:uiPriority w:val="99"/>
    <w:unhideWhenUsed/>
    <w:rsid w:val="00D55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a.in.gov/legislative/2026/bills/house/1249" TargetMode="External"/><Relationship Id="rId13" Type="http://schemas.openxmlformats.org/officeDocument/2006/relationships/hyperlink" Target="https://iga.in.gov/legislative/2026/bills/senate/180" TargetMode="External"/><Relationship Id="rId18" Type="http://schemas.openxmlformats.org/officeDocument/2006/relationships/hyperlink" Target="https://iga.in.gov/legislative/2026/bills/house/1212"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iga.in.gov/legislative/2026/bills/senate/60" TargetMode="External"/><Relationship Id="rId7" Type="http://schemas.openxmlformats.org/officeDocument/2006/relationships/hyperlink" Target="https://iga.in.gov/legislative/2026/bills/house/1210" TargetMode="External"/><Relationship Id="rId12" Type="http://schemas.openxmlformats.org/officeDocument/2006/relationships/hyperlink" Target="https://iga.in.gov/legislative/2026/bills/senate/1" TargetMode="External"/><Relationship Id="rId17" Type="http://schemas.openxmlformats.org/officeDocument/2006/relationships/hyperlink" Target="https://iga.in.gov/legislative/2026/bills/house/1180" TargetMode="External"/><Relationship Id="rId25" Type="http://schemas.openxmlformats.org/officeDocument/2006/relationships/hyperlink" Target="https://iga.in.gov/legislative/2026/bills/senate/275" TargetMode="External"/><Relationship Id="rId2" Type="http://schemas.openxmlformats.org/officeDocument/2006/relationships/styles" Target="styles.xml"/><Relationship Id="rId16" Type="http://schemas.openxmlformats.org/officeDocument/2006/relationships/hyperlink" Target="https://iga.in.gov/legislative/2026/bills/house/1162" TargetMode="External"/><Relationship Id="rId20" Type="http://schemas.openxmlformats.org/officeDocument/2006/relationships/hyperlink" Target="https://iga.in.gov/legislative/2026/bills/house/13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ga.in.gov/legislative/2026/bills/house/1358" TargetMode="External"/><Relationship Id="rId24" Type="http://schemas.openxmlformats.org/officeDocument/2006/relationships/hyperlink" Target="https://iga.in.gov/legislative/2026/bills/senate/173" TargetMode="External"/><Relationship Id="rId5" Type="http://schemas.openxmlformats.org/officeDocument/2006/relationships/footnotes" Target="footnotes.xml"/><Relationship Id="rId15" Type="http://schemas.openxmlformats.org/officeDocument/2006/relationships/hyperlink" Target="https://iga.in.gov/legislative/2026/bills/house/1012" TargetMode="External"/><Relationship Id="rId23" Type="http://schemas.openxmlformats.org/officeDocument/2006/relationships/hyperlink" Target="https://iga.in.gov/legislative/2026/bills/senate/116" TargetMode="External"/><Relationship Id="rId28" Type="http://schemas.openxmlformats.org/officeDocument/2006/relationships/theme" Target="theme/theme1.xml"/><Relationship Id="rId10" Type="http://schemas.openxmlformats.org/officeDocument/2006/relationships/hyperlink" Target="https://iga.in.gov/legislative/2026/bills/house/1277" TargetMode="External"/><Relationship Id="rId19" Type="http://schemas.openxmlformats.org/officeDocument/2006/relationships/hyperlink" Target="https://iga.in.gov/legislative/2026/bills/house/1365" TargetMode="External"/><Relationship Id="rId4" Type="http://schemas.openxmlformats.org/officeDocument/2006/relationships/webSettings" Target="webSettings.xml"/><Relationship Id="rId9" Type="http://schemas.openxmlformats.org/officeDocument/2006/relationships/hyperlink" Target="https://iga.in.gov/legislative/2026/bills/house/1271" TargetMode="External"/><Relationship Id="rId14" Type="http://schemas.openxmlformats.org/officeDocument/2006/relationships/hyperlink" Target="https://iga.in.gov/legislative/2026/bills/senate/222" TargetMode="External"/><Relationship Id="rId22" Type="http://schemas.openxmlformats.org/officeDocument/2006/relationships/hyperlink" Target="https://iga.in.gov/legislative/2026/bills/senate/85"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2600</Words>
  <Characters>15184</Characters>
  <Application>Microsoft Office Word</Application>
  <DocSecurity>0</DocSecurity>
  <Lines>562</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Essley</dc:creator>
  <cp:keywords/>
  <dc:description/>
  <cp:lastModifiedBy>Eric Essley</cp:lastModifiedBy>
  <cp:revision>2</cp:revision>
  <cp:lastPrinted>2026-02-26T14:14:00Z</cp:lastPrinted>
  <dcterms:created xsi:type="dcterms:W3CDTF">2026-03-01T16:55:00Z</dcterms:created>
  <dcterms:modified xsi:type="dcterms:W3CDTF">2026-03-01T16:55:00Z</dcterms:modified>
</cp:coreProperties>
</file>