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0FDB" w14:textId="4D8B3B59" w:rsidR="00AF726C" w:rsidRDefault="00FC7762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Background Information on </w:t>
      </w:r>
      <w:r w:rsidR="00AF726C">
        <w:rPr>
          <w:rFonts w:ascii="Times New Roman" w:hAnsi="Times New Roman" w:cs="Times New Roman"/>
          <w:b/>
          <w:bCs/>
          <w:color w:val="000000"/>
          <w:u w:val="single"/>
        </w:rPr>
        <w:t>language seeking permanent property tax exempt status for NFP senior living communities, including CCRCs</w:t>
      </w:r>
    </w:p>
    <w:p w14:paraId="726CA064" w14:textId="77777777" w:rsidR="00AF726C" w:rsidRDefault="00AF726C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4DAFA40" w14:textId="77777777" w:rsidR="00FC7762" w:rsidRDefault="00FC7762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Not for Profit (NFP) Senior Living Providers</w:t>
      </w:r>
    </w:p>
    <w:p w14:paraId="0960854E" w14:textId="77777777" w:rsidR="00FC7762" w:rsidRDefault="00FC7762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  <w:u w:val="single"/>
        </w:rPr>
      </w:pPr>
    </w:p>
    <w:p w14:paraId="6663386E" w14:textId="566E3E62" w:rsidR="007A7013" w:rsidRDefault="006C585B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</w:rPr>
        <w:t xml:space="preserve">Indiana’s </w:t>
      </w:r>
      <w:r w:rsidR="00FC7762" w:rsidRPr="00C8348B">
        <w:rPr>
          <w:rFonts w:ascii="Times New Roman" w:hAnsi="Times New Roman" w:cs="Times New Roman"/>
        </w:rPr>
        <w:t>NFP providers are often in rural communities and are typically stand-alone or very limited multi-site facilities who do not</w:t>
      </w:r>
      <w:r w:rsidR="00FC7762">
        <w:rPr>
          <w:rFonts w:ascii="Times New Roman" w:hAnsi="Times New Roman" w:cs="Times New Roman"/>
        </w:rPr>
        <w:t xml:space="preserve"> </w:t>
      </w:r>
      <w:r w:rsidR="00FC7762" w:rsidRPr="00C8348B">
        <w:rPr>
          <w:rFonts w:ascii="Times New Roman" w:hAnsi="Times New Roman" w:cs="Times New Roman"/>
        </w:rPr>
        <w:t xml:space="preserve">enjoy the operational and capital resources that exist in the background of their for-profit counterparts.  Additionally, most NFP providers </w:t>
      </w:r>
      <w:r w:rsidR="007A7013">
        <w:rPr>
          <w:rFonts w:ascii="Times New Roman" w:hAnsi="Times New Roman" w:cs="Times New Roman"/>
        </w:rPr>
        <w:t xml:space="preserve">– including CCRCs - </w:t>
      </w:r>
      <w:r w:rsidR="00FC7762" w:rsidRPr="00C8348B">
        <w:rPr>
          <w:rFonts w:ascii="Times New Roman" w:hAnsi="Times New Roman" w:cs="Times New Roman"/>
        </w:rPr>
        <w:t xml:space="preserve">have a history rooted in </w:t>
      </w:r>
      <w:r w:rsidR="00FC7762">
        <w:rPr>
          <w:rFonts w:ascii="Times New Roman" w:hAnsi="Times New Roman" w:cs="Times New Roman"/>
        </w:rPr>
        <w:t xml:space="preserve">person-centered care, </w:t>
      </w:r>
      <w:r w:rsidR="00FC7762" w:rsidRPr="00C8348B">
        <w:rPr>
          <w:rFonts w:ascii="Times New Roman" w:hAnsi="Times New Roman" w:cs="Times New Roman"/>
        </w:rPr>
        <w:t xml:space="preserve">religious mission and community service.  </w:t>
      </w:r>
      <w:r w:rsidR="00FC7762">
        <w:rPr>
          <w:rFonts w:ascii="Times New Roman" w:hAnsi="Times New Roman" w:cs="Times New Roman"/>
        </w:rPr>
        <w:t>In fact, m</w:t>
      </w:r>
      <w:r w:rsidR="00FC7762" w:rsidRPr="00C8348B">
        <w:rPr>
          <w:rFonts w:ascii="Times New Roman" w:hAnsi="Times New Roman" w:cs="Times New Roman"/>
        </w:rPr>
        <w:t xml:space="preserve">any </w:t>
      </w:r>
      <w:r>
        <w:rPr>
          <w:rFonts w:ascii="Times New Roman" w:hAnsi="Times New Roman" w:cs="Times New Roman"/>
        </w:rPr>
        <w:t xml:space="preserve">still </w:t>
      </w:r>
      <w:r w:rsidR="00FC7762" w:rsidRPr="00C8348B">
        <w:rPr>
          <w:rFonts w:ascii="Times New Roman" w:hAnsi="Times New Roman" w:cs="Times New Roman"/>
        </w:rPr>
        <w:t xml:space="preserve">hold regular </w:t>
      </w:r>
      <w:r w:rsidR="007A7013">
        <w:rPr>
          <w:rFonts w:ascii="Times New Roman" w:hAnsi="Times New Roman" w:cs="Times New Roman"/>
        </w:rPr>
        <w:t xml:space="preserve">spiritual </w:t>
      </w:r>
      <w:r w:rsidR="00FC7762" w:rsidRPr="00C8348B">
        <w:rPr>
          <w:rFonts w:ascii="Times New Roman" w:hAnsi="Times New Roman" w:cs="Times New Roman"/>
        </w:rPr>
        <w:t>services on their campuses and employ chaplains to care for the spiritual needs of the</w:t>
      </w:r>
      <w:r>
        <w:rPr>
          <w:rFonts w:ascii="Times New Roman" w:hAnsi="Times New Roman" w:cs="Times New Roman"/>
        </w:rPr>
        <w:t xml:space="preserve">ir </w:t>
      </w:r>
      <w:r w:rsidR="00FC7762" w:rsidRPr="00C8348B">
        <w:rPr>
          <w:rFonts w:ascii="Times New Roman" w:hAnsi="Times New Roman" w:cs="Times New Roman"/>
        </w:rPr>
        <w:t xml:space="preserve">residents.  </w:t>
      </w:r>
      <w:r w:rsidR="00FC7762">
        <w:rPr>
          <w:rFonts w:ascii="Times New Roman" w:hAnsi="Times New Roman" w:cs="Times New Roman"/>
        </w:rPr>
        <w:t xml:space="preserve">For </w:t>
      </w:r>
      <w:proofErr w:type="gramStart"/>
      <w:r w:rsidR="00FC7762">
        <w:rPr>
          <w:rFonts w:ascii="Times New Roman" w:hAnsi="Times New Roman" w:cs="Times New Roman"/>
        </w:rPr>
        <w:t>all of</w:t>
      </w:r>
      <w:proofErr w:type="gramEnd"/>
      <w:r w:rsidR="00FC7762">
        <w:rPr>
          <w:rFonts w:ascii="Times New Roman" w:hAnsi="Times New Roman" w:cs="Times New Roman"/>
        </w:rPr>
        <w:t xml:space="preserve"> these reasons, many consistently struggle to best meet the housing expectations of their residents while also sufficiently </w:t>
      </w:r>
      <w:r w:rsidR="00FC7762" w:rsidRPr="00FB6DB2">
        <w:rPr>
          <w:rFonts w:ascii="Times New Roman" w:hAnsi="Times New Roman" w:cs="Times New Roman"/>
        </w:rPr>
        <w:t>invest</w:t>
      </w:r>
      <w:r w:rsidR="00FC7762">
        <w:rPr>
          <w:rFonts w:ascii="Times New Roman" w:hAnsi="Times New Roman" w:cs="Times New Roman"/>
        </w:rPr>
        <w:t xml:space="preserve">ing in </w:t>
      </w:r>
      <w:r w:rsidR="00FC7762" w:rsidRPr="00FB6DB2">
        <w:rPr>
          <w:rFonts w:ascii="Times New Roman" w:hAnsi="Times New Roman" w:cs="Times New Roman"/>
        </w:rPr>
        <w:t xml:space="preserve">staff, resident wellness, and </w:t>
      </w:r>
      <w:r w:rsidR="00FC7762">
        <w:rPr>
          <w:rFonts w:ascii="Times New Roman" w:hAnsi="Times New Roman" w:cs="Times New Roman"/>
        </w:rPr>
        <w:t xml:space="preserve">all the </w:t>
      </w:r>
      <w:r w:rsidR="00FC7762" w:rsidRPr="00FB6DB2">
        <w:rPr>
          <w:rFonts w:ascii="Times New Roman" w:hAnsi="Times New Roman" w:cs="Times New Roman"/>
        </w:rPr>
        <w:t xml:space="preserve">tools and equipment </w:t>
      </w:r>
      <w:r w:rsidR="00FC7762">
        <w:rPr>
          <w:rFonts w:ascii="Times New Roman" w:hAnsi="Times New Roman" w:cs="Times New Roman"/>
        </w:rPr>
        <w:t xml:space="preserve">needed </w:t>
      </w:r>
      <w:r w:rsidR="00FC7762" w:rsidRPr="00FB6DB2">
        <w:rPr>
          <w:rFonts w:ascii="Times New Roman" w:hAnsi="Times New Roman" w:cs="Times New Roman"/>
        </w:rPr>
        <w:t>to enhance the lifestyle of older adults</w:t>
      </w:r>
      <w:r w:rsidR="00FC7762">
        <w:rPr>
          <w:rFonts w:ascii="Times New Roman" w:hAnsi="Times New Roman" w:cs="Times New Roman"/>
        </w:rPr>
        <w:t xml:space="preserve">.  That is, NFP providers are often left </w:t>
      </w:r>
      <w:r w:rsidR="00FC7762" w:rsidRPr="00B81A05">
        <w:rPr>
          <w:rFonts w:ascii="Times New Roman" w:hAnsi="Times New Roman" w:cs="Times New Roman"/>
        </w:rPr>
        <w:t xml:space="preserve">at a competitive disadvantage in the business of today’s competitive long-term care and senior living marketplace.  </w:t>
      </w:r>
    </w:p>
    <w:p w14:paraId="40AF8998" w14:textId="77777777" w:rsidR="007A7013" w:rsidRDefault="007A7013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  <w:u w:val="single"/>
        </w:rPr>
      </w:pPr>
    </w:p>
    <w:p w14:paraId="28029FE6" w14:textId="5E2C604F" w:rsidR="007A7013" w:rsidRPr="007A7013" w:rsidRDefault="00FC7762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  <w:u w:val="single"/>
        </w:rPr>
      </w:pPr>
      <w:r w:rsidRPr="00B81A05">
        <w:rPr>
          <w:rFonts w:ascii="Times New Roman" w:hAnsi="Times New Roman" w:cs="Times New Roman"/>
        </w:rPr>
        <w:t xml:space="preserve">One advantage that nearly all NFPs (religious, literary, educational, charitable organizations, </w:t>
      </w:r>
      <w:r>
        <w:rPr>
          <w:rFonts w:ascii="Times New Roman" w:hAnsi="Times New Roman" w:cs="Times New Roman"/>
        </w:rPr>
        <w:t xml:space="preserve">and </w:t>
      </w:r>
      <w:r w:rsidRPr="00B81A05">
        <w:rPr>
          <w:rFonts w:ascii="Times New Roman" w:hAnsi="Times New Roman" w:cs="Times New Roman"/>
        </w:rPr>
        <w:t>other 501(c)(3) entities</w:t>
      </w:r>
      <w:r>
        <w:rPr>
          <w:rFonts w:ascii="Times New Roman" w:hAnsi="Times New Roman" w:cs="Times New Roman"/>
        </w:rPr>
        <w:t xml:space="preserve"> generally [like NFP senior living providers]) </w:t>
      </w:r>
      <w:r w:rsidRPr="00B81A05">
        <w:rPr>
          <w:rFonts w:ascii="Times New Roman" w:hAnsi="Times New Roman" w:cs="Times New Roman"/>
        </w:rPr>
        <w:t>do have is their property tax exempt status.  This small gesture</w:t>
      </w:r>
      <w:r>
        <w:rPr>
          <w:rFonts w:ascii="Times New Roman" w:hAnsi="Times New Roman" w:cs="Times New Roman"/>
        </w:rPr>
        <w:t xml:space="preserve"> </w:t>
      </w:r>
      <w:r w:rsidRPr="00B81A05">
        <w:rPr>
          <w:rFonts w:ascii="Times New Roman" w:hAnsi="Times New Roman" w:cs="Times New Roman"/>
        </w:rPr>
        <w:t xml:space="preserve">attempts to financially acknowledge the societal value that these entities provide to the greater public.  </w:t>
      </w:r>
      <w:r>
        <w:rPr>
          <w:rFonts w:ascii="Times New Roman" w:hAnsi="Times New Roman" w:cs="Times New Roman"/>
        </w:rPr>
        <w:t xml:space="preserve">In the case of senior living providers, they do this through caring for Medicaid recipients and serving and partnering with the broader communities in which they are an integral part. </w:t>
      </w:r>
      <w:r w:rsidR="00943D93">
        <w:rPr>
          <w:rFonts w:ascii="Times New Roman" w:hAnsi="Times New Roman" w:cs="Times New Roman"/>
        </w:rPr>
        <w:t xml:space="preserve">Our proposed language will aim </w:t>
      </w:r>
      <w:r w:rsidR="007A7013">
        <w:rPr>
          <w:rFonts w:ascii="Times New Roman" w:hAnsi="Times New Roman" w:cs="Times New Roman"/>
        </w:rPr>
        <w:t xml:space="preserve">at permanently securing property tax exempt status for these providers – including CCRCs.  </w:t>
      </w:r>
      <w:r w:rsidR="00943D93">
        <w:rPr>
          <w:rFonts w:ascii="Times New Roman" w:hAnsi="Times New Roman" w:cs="Times New Roman"/>
        </w:rPr>
        <w:t xml:space="preserve">This language </w:t>
      </w:r>
      <w:r w:rsidR="007A7013" w:rsidRPr="007A7013">
        <w:rPr>
          <w:rFonts w:ascii="Times New Roman" w:hAnsi="Times New Roman" w:cs="Times New Roman"/>
          <w:u w:val="single"/>
        </w:rPr>
        <w:t>does not</w:t>
      </w:r>
      <w:r w:rsidR="007A7013">
        <w:rPr>
          <w:rFonts w:ascii="Times New Roman" w:hAnsi="Times New Roman" w:cs="Times New Roman"/>
        </w:rPr>
        <w:t xml:space="preserve"> create </w:t>
      </w:r>
      <w:r w:rsidR="007A7013" w:rsidRPr="00B81A05">
        <w:rPr>
          <w:rFonts w:ascii="Times New Roman" w:hAnsi="Times New Roman" w:cs="Times New Roman"/>
        </w:rPr>
        <w:t xml:space="preserve">new policy, </w:t>
      </w:r>
      <w:r w:rsidR="007A7013" w:rsidRPr="007A7013">
        <w:rPr>
          <w:rFonts w:ascii="Times New Roman" w:hAnsi="Times New Roman" w:cs="Times New Roman"/>
          <w:u w:val="single"/>
        </w:rPr>
        <w:t>is n</w:t>
      </w:r>
      <w:r w:rsidR="007A7013" w:rsidRPr="00B81A05">
        <w:rPr>
          <w:rFonts w:ascii="Times New Roman" w:hAnsi="Times New Roman" w:cs="Times New Roman"/>
          <w:u w:val="single"/>
        </w:rPr>
        <w:t>ot</w:t>
      </w:r>
      <w:r w:rsidR="007A7013" w:rsidRPr="00B81A05">
        <w:rPr>
          <w:rFonts w:ascii="Times New Roman" w:hAnsi="Times New Roman" w:cs="Times New Roman"/>
        </w:rPr>
        <w:t xml:space="preserve"> creating new </w:t>
      </w:r>
      <w:r w:rsidR="007A7013">
        <w:rPr>
          <w:rFonts w:ascii="Times New Roman" w:hAnsi="Times New Roman" w:cs="Times New Roman"/>
        </w:rPr>
        <w:t xml:space="preserve">or expanded </w:t>
      </w:r>
      <w:r w:rsidR="007A7013" w:rsidRPr="00B81A05">
        <w:rPr>
          <w:rFonts w:ascii="Times New Roman" w:hAnsi="Times New Roman" w:cs="Times New Roman"/>
        </w:rPr>
        <w:t xml:space="preserve">exemptions, and is </w:t>
      </w:r>
      <w:r w:rsidR="007A7013" w:rsidRPr="00B81A05">
        <w:rPr>
          <w:rFonts w:ascii="Times New Roman" w:hAnsi="Times New Roman" w:cs="Times New Roman"/>
          <w:u w:val="single"/>
        </w:rPr>
        <w:t>not</w:t>
      </w:r>
      <w:r w:rsidR="007A7013" w:rsidRPr="00B81A05">
        <w:rPr>
          <w:rFonts w:ascii="Times New Roman" w:hAnsi="Times New Roman" w:cs="Times New Roman"/>
        </w:rPr>
        <w:t xml:space="preserve"> taking money out of county resources.  </w:t>
      </w:r>
      <w:r w:rsidR="00943D93">
        <w:rPr>
          <w:rFonts w:ascii="Times New Roman" w:hAnsi="Times New Roman" w:cs="Times New Roman"/>
        </w:rPr>
        <w:t>It merely</w:t>
      </w:r>
      <w:r w:rsidR="007A7013" w:rsidRPr="00B81A05">
        <w:rPr>
          <w:rFonts w:ascii="Times New Roman" w:hAnsi="Times New Roman" w:cs="Times New Roman"/>
        </w:rPr>
        <w:t xml:space="preserve"> </w:t>
      </w:r>
      <w:r w:rsidR="007A7013">
        <w:rPr>
          <w:rFonts w:ascii="Times New Roman" w:hAnsi="Times New Roman" w:cs="Times New Roman"/>
        </w:rPr>
        <w:t>seeks to lock in the s</w:t>
      </w:r>
      <w:r w:rsidR="007A7013" w:rsidRPr="00B81A05">
        <w:rPr>
          <w:rFonts w:ascii="Times New Roman" w:hAnsi="Times New Roman" w:cs="Times New Roman"/>
        </w:rPr>
        <w:t xml:space="preserve">tatus quo </w:t>
      </w:r>
      <w:r w:rsidR="007A7013">
        <w:rPr>
          <w:rFonts w:ascii="Times New Roman" w:hAnsi="Times New Roman" w:cs="Times New Roman"/>
        </w:rPr>
        <w:t xml:space="preserve">recognized in nearly all Indiana counties, </w:t>
      </w:r>
      <w:r w:rsidR="007A7013" w:rsidRPr="00B81A05">
        <w:rPr>
          <w:rFonts w:ascii="Times New Roman" w:hAnsi="Times New Roman" w:cs="Times New Roman"/>
        </w:rPr>
        <w:t xml:space="preserve">and one that has been upheld as sound public policy for generations.  It is time to clarify this public policy for individual </w:t>
      </w:r>
      <w:r w:rsidR="007A7013">
        <w:rPr>
          <w:rFonts w:ascii="Times New Roman" w:hAnsi="Times New Roman" w:cs="Times New Roman"/>
        </w:rPr>
        <w:t>C</w:t>
      </w:r>
      <w:r w:rsidR="007A7013" w:rsidRPr="00B81A05">
        <w:rPr>
          <w:rFonts w:ascii="Times New Roman" w:hAnsi="Times New Roman" w:cs="Times New Roman"/>
        </w:rPr>
        <w:t xml:space="preserve">ounty </w:t>
      </w:r>
      <w:r w:rsidR="007A7013">
        <w:rPr>
          <w:rFonts w:ascii="Times New Roman" w:hAnsi="Times New Roman" w:cs="Times New Roman"/>
        </w:rPr>
        <w:t>A</w:t>
      </w:r>
      <w:r w:rsidR="007A7013" w:rsidRPr="00B81A05">
        <w:rPr>
          <w:rFonts w:ascii="Times New Roman" w:hAnsi="Times New Roman" w:cs="Times New Roman"/>
        </w:rPr>
        <w:t xml:space="preserve">ssessors and the entire state once and for all.   </w:t>
      </w:r>
    </w:p>
    <w:p w14:paraId="48EDF87D" w14:textId="77777777" w:rsidR="00FC7762" w:rsidRDefault="00FC7762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  <w:u w:val="single"/>
        </w:rPr>
      </w:pPr>
    </w:p>
    <w:p w14:paraId="5EDFA995" w14:textId="65C81C2E" w:rsidR="00E02D5D" w:rsidRPr="00AF726C" w:rsidRDefault="00E02D5D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  <w:u w:val="single"/>
        </w:rPr>
      </w:pPr>
      <w:r w:rsidRPr="00AF726C">
        <w:rPr>
          <w:rFonts w:ascii="Times New Roman" w:hAnsi="Times New Roman" w:cs="Times New Roman"/>
          <w:color w:val="000000"/>
          <w:u w:val="single"/>
        </w:rPr>
        <w:t xml:space="preserve">Continuing Care Retirement </w:t>
      </w:r>
      <w:r w:rsidR="00786173" w:rsidRPr="00AF726C">
        <w:rPr>
          <w:rFonts w:ascii="Times New Roman" w:hAnsi="Times New Roman" w:cs="Times New Roman"/>
          <w:color w:val="000000"/>
          <w:u w:val="single"/>
        </w:rPr>
        <w:t>Communities</w:t>
      </w:r>
      <w:r w:rsidRPr="00AF726C">
        <w:rPr>
          <w:rFonts w:ascii="Times New Roman" w:hAnsi="Times New Roman" w:cs="Times New Roman"/>
          <w:color w:val="000000"/>
          <w:u w:val="single"/>
        </w:rPr>
        <w:t xml:space="preserve"> “</w:t>
      </w:r>
      <w:r w:rsidRPr="00E02D5D">
        <w:rPr>
          <w:rFonts w:ascii="Times New Roman" w:hAnsi="Times New Roman" w:cs="Times New Roman"/>
          <w:color w:val="000000"/>
          <w:u w:val="single"/>
        </w:rPr>
        <w:t>CCRCs</w:t>
      </w:r>
      <w:r w:rsidRPr="00AF726C">
        <w:rPr>
          <w:rFonts w:ascii="Times New Roman" w:hAnsi="Times New Roman" w:cs="Times New Roman"/>
          <w:color w:val="000000"/>
          <w:u w:val="single"/>
        </w:rPr>
        <w:t>”</w:t>
      </w:r>
    </w:p>
    <w:p w14:paraId="1EC5805E" w14:textId="77777777" w:rsidR="00E02D5D" w:rsidRPr="00E02D5D" w:rsidRDefault="00E02D5D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</w:p>
    <w:p w14:paraId="7B5649EA" w14:textId="6658F925" w:rsidR="001D275C" w:rsidRDefault="00E02D5D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</w:rPr>
      </w:pPr>
      <w:r w:rsidRPr="00E02D5D">
        <w:rPr>
          <w:rFonts w:ascii="Times New Roman" w:hAnsi="Times New Roman" w:cs="Times New Roman"/>
          <w:color w:val="000000"/>
        </w:rPr>
        <w:t xml:space="preserve">The Indiana Secretary of State Securities Division </w:t>
      </w:r>
      <w:r w:rsidR="00786173" w:rsidRPr="001D275C">
        <w:rPr>
          <w:rFonts w:ascii="Times New Roman" w:hAnsi="Times New Roman" w:cs="Times New Roman"/>
          <w:color w:val="000000"/>
        </w:rPr>
        <w:t xml:space="preserve">(“the Division”) </w:t>
      </w:r>
      <w:r w:rsidRPr="00E02D5D">
        <w:rPr>
          <w:rFonts w:ascii="Times New Roman" w:hAnsi="Times New Roman" w:cs="Times New Roman"/>
          <w:color w:val="000000"/>
        </w:rPr>
        <w:t xml:space="preserve">regulates the CCRC industry in Indiana. </w:t>
      </w:r>
      <w:r w:rsidRPr="00AC344A">
        <w:rPr>
          <w:rFonts w:ascii="Times New Roman" w:hAnsi="Times New Roman" w:cs="Times New Roman"/>
          <w:i/>
          <w:iCs/>
          <w:color w:val="000000"/>
        </w:rPr>
        <w:t>See Ind. Code 23-2-</w:t>
      </w:r>
      <w:r w:rsidR="00786173" w:rsidRPr="00AC344A">
        <w:rPr>
          <w:rFonts w:ascii="Times New Roman" w:hAnsi="Times New Roman" w:cs="Times New Roman"/>
          <w:i/>
          <w:iCs/>
          <w:color w:val="000000"/>
        </w:rPr>
        <w:t>4.</w:t>
      </w:r>
      <w:r w:rsidR="00786173" w:rsidRPr="001D275C">
        <w:rPr>
          <w:rFonts w:ascii="Times New Roman" w:hAnsi="Times New Roman" w:cs="Times New Roman"/>
          <w:color w:val="000000"/>
        </w:rPr>
        <w:t xml:space="preserve">  </w:t>
      </w:r>
      <w:r w:rsidR="00B01235">
        <w:rPr>
          <w:rFonts w:ascii="Times New Roman" w:hAnsi="Times New Roman" w:cs="Times New Roman"/>
          <w:color w:val="000000"/>
        </w:rPr>
        <w:t xml:space="preserve">CCRCs are further </w:t>
      </w:r>
      <w:r w:rsidR="00786173" w:rsidRPr="00AC344A">
        <w:rPr>
          <w:rFonts w:ascii="Times New Roman" w:hAnsi="Times New Roman" w:cs="Times New Roman"/>
          <w:spacing w:val="8"/>
          <w:shd w:val="clear" w:color="auto" w:fill="FFFFFF"/>
        </w:rPr>
        <w:t>licensed under </w:t>
      </w:r>
      <w:r w:rsidR="00786173" w:rsidRPr="00B01235">
        <w:rPr>
          <w:rFonts w:ascii="Times New Roman" w:hAnsi="Times New Roman" w:cs="Times New Roman"/>
          <w:spacing w:val="8"/>
          <w:shd w:val="clear" w:color="auto" w:fill="FFFFFF"/>
        </w:rPr>
        <w:t>Ind. Code § 16-28</w:t>
      </w:r>
      <w:r w:rsidR="00786173" w:rsidRPr="001D275C">
        <w:rPr>
          <w:rFonts w:ascii="Times New Roman" w:hAnsi="Times New Roman" w:cs="Times New Roman"/>
          <w:spacing w:val="8"/>
          <w:shd w:val="clear" w:color="auto" w:fill="FFFFFF"/>
        </w:rPr>
        <w:t xml:space="preserve">. As of August </w:t>
      </w:r>
      <w:r w:rsidR="00573A8A" w:rsidRPr="001D275C">
        <w:rPr>
          <w:rFonts w:ascii="Times New Roman" w:hAnsi="Times New Roman" w:cs="Times New Roman"/>
          <w:spacing w:val="8"/>
          <w:shd w:val="clear" w:color="auto" w:fill="FFFFFF"/>
        </w:rPr>
        <w:t>2024, there were 52 registered CCRCs in Indiana.  Most of these are not-for-profit entities, but not all</w:t>
      </w:r>
      <w:r w:rsidR="00AC344A">
        <w:rPr>
          <w:rFonts w:ascii="Times New Roman" w:hAnsi="Times New Roman" w:cs="Times New Roman"/>
          <w:spacing w:val="8"/>
          <w:shd w:val="clear" w:color="auto" w:fill="FFFFFF"/>
        </w:rPr>
        <w:t xml:space="preserve">.  </w:t>
      </w:r>
      <w:r w:rsidRPr="00E02D5D">
        <w:rPr>
          <w:rFonts w:ascii="Times New Roman" w:hAnsi="Times New Roman" w:cs="Times New Roman"/>
        </w:rPr>
        <w:t xml:space="preserve">To maintain registration, CCRCs are required to make an annual filing 4 months following </w:t>
      </w:r>
      <w:r w:rsidR="00786173" w:rsidRPr="001D275C">
        <w:rPr>
          <w:rFonts w:ascii="Times New Roman" w:hAnsi="Times New Roman" w:cs="Times New Roman"/>
        </w:rPr>
        <w:t xml:space="preserve">its </w:t>
      </w:r>
      <w:r w:rsidRPr="00E02D5D">
        <w:rPr>
          <w:rFonts w:ascii="Times New Roman" w:hAnsi="Times New Roman" w:cs="Times New Roman"/>
        </w:rPr>
        <w:t xml:space="preserve">fiscal year end. The Division reviews the following documents in each annual filing: </w:t>
      </w:r>
    </w:p>
    <w:p w14:paraId="307CE82E" w14:textId="77777777" w:rsidR="00F52373" w:rsidRPr="00E02D5D" w:rsidRDefault="00F52373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</w:rPr>
      </w:pPr>
    </w:p>
    <w:p w14:paraId="6AB0FDF8" w14:textId="77777777" w:rsidR="00E02D5D" w:rsidRPr="00E02D5D" w:rsidRDefault="00E02D5D" w:rsidP="006C585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  <w:r w:rsidRPr="00E02D5D">
        <w:rPr>
          <w:rFonts w:ascii="Times New Roman" w:hAnsi="Times New Roman" w:cs="Times New Roman"/>
          <w:color w:val="000000"/>
        </w:rPr>
        <w:t xml:space="preserve">Audited financial statements </w:t>
      </w:r>
    </w:p>
    <w:p w14:paraId="230C0A88" w14:textId="77777777" w:rsidR="00E02D5D" w:rsidRPr="00E02D5D" w:rsidRDefault="00E02D5D" w:rsidP="006C585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  <w:r w:rsidRPr="00E02D5D">
        <w:rPr>
          <w:rFonts w:ascii="Times New Roman" w:hAnsi="Times New Roman" w:cs="Times New Roman"/>
          <w:color w:val="000000"/>
        </w:rPr>
        <w:t xml:space="preserve">Annual Disclosure Statement </w:t>
      </w:r>
    </w:p>
    <w:p w14:paraId="1FFCCB6A" w14:textId="77777777" w:rsidR="00E02D5D" w:rsidRPr="00E02D5D" w:rsidRDefault="00E02D5D" w:rsidP="006C585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  <w:r w:rsidRPr="00E02D5D">
        <w:rPr>
          <w:rFonts w:ascii="Times New Roman" w:hAnsi="Times New Roman" w:cs="Times New Roman"/>
          <w:color w:val="000000"/>
        </w:rPr>
        <w:t xml:space="preserve">Resident contracts and fees </w:t>
      </w:r>
    </w:p>
    <w:p w14:paraId="40146A57" w14:textId="7199428E" w:rsidR="00E02D5D" w:rsidRPr="00E02D5D" w:rsidRDefault="00E02D5D" w:rsidP="006C585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  <w:r w:rsidRPr="00E02D5D">
        <w:rPr>
          <w:rFonts w:ascii="Times New Roman" w:hAnsi="Times New Roman" w:cs="Times New Roman"/>
          <w:color w:val="000000"/>
        </w:rPr>
        <w:t xml:space="preserve">Occupancy </w:t>
      </w:r>
      <w:r w:rsidR="00786173" w:rsidRPr="001D275C">
        <w:rPr>
          <w:rFonts w:ascii="Times New Roman" w:hAnsi="Times New Roman" w:cs="Times New Roman"/>
          <w:color w:val="000000"/>
        </w:rPr>
        <w:t>rates</w:t>
      </w:r>
    </w:p>
    <w:p w14:paraId="6A40545C" w14:textId="77777777" w:rsidR="00E02D5D" w:rsidRPr="00E02D5D" w:rsidRDefault="00E02D5D" w:rsidP="006C585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  <w:r w:rsidRPr="00E02D5D">
        <w:rPr>
          <w:rFonts w:ascii="Times New Roman" w:hAnsi="Times New Roman" w:cs="Times New Roman"/>
          <w:color w:val="000000"/>
        </w:rPr>
        <w:t xml:space="preserve">Entrance fee refund liability </w:t>
      </w:r>
    </w:p>
    <w:p w14:paraId="409ABCBF" w14:textId="77777777" w:rsidR="00786173" w:rsidRPr="001D275C" w:rsidRDefault="00786173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</w:p>
    <w:p w14:paraId="4E57380B" w14:textId="464A6CC7" w:rsidR="00E02D5D" w:rsidRPr="001D275C" w:rsidRDefault="00786173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  <w:r w:rsidRPr="001D275C">
        <w:rPr>
          <w:rFonts w:ascii="Times New Roman" w:hAnsi="Times New Roman" w:cs="Times New Roman"/>
          <w:color w:val="000000"/>
        </w:rPr>
        <w:t>Additionally, CCRCs must provide a “disclosure statement” to each perspective resident before he/she executes the continuing care agreement, and upon request</w:t>
      </w:r>
      <w:r w:rsidR="00AC344A">
        <w:rPr>
          <w:rFonts w:ascii="Times New Roman" w:hAnsi="Times New Roman" w:cs="Times New Roman"/>
          <w:color w:val="000000"/>
        </w:rPr>
        <w:t xml:space="preserve"> thereafter</w:t>
      </w:r>
      <w:r w:rsidRPr="001D275C">
        <w:rPr>
          <w:rFonts w:ascii="Times New Roman" w:hAnsi="Times New Roman" w:cs="Times New Roman"/>
          <w:color w:val="000000"/>
        </w:rPr>
        <w:t xml:space="preserve">.  </w:t>
      </w:r>
    </w:p>
    <w:p w14:paraId="47B337AC" w14:textId="77777777" w:rsidR="00E02D5D" w:rsidRPr="001D275C" w:rsidRDefault="00E02D5D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</w:p>
    <w:p w14:paraId="5B390A33" w14:textId="74C6F4B0" w:rsidR="007A7013" w:rsidRPr="001D275C" w:rsidRDefault="00E02D5D" w:rsidP="006C585B">
      <w:pPr>
        <w:ind w:right="720"/>
        <w:jc w:val="both"/>
        <w:rPr>
          <w:rFonts w:ascii="Times New Roman" w:hAnsi="Times New Roman" w:cs="Times New Roman"/>
          <w:color w:val="000000"/>
        </w:rPr>
      </w:pPr>
      <w:r w:rsidRPr="00E02D5D">
        <w:rPr>
          <w:rFonts w:ascii="Times New Roman" w:hAnsi="Times New Roman" w:cs="Times New Roman"/>
          <w:color w:val="000000"/>
        </w:rPr>
        <w:t xml:space="preserve">CCRCs provide </w:t>
      </w:r>
      <w:r w:rsidR="00786173" w:rsidRPr="001D275C">
        <w:rPr>
          <w:rFonts w:ascii="Times New Roman" w:hAnsi="Times New Roman" w:cs="Times New Roman"/>
          <w:color w:val="000000"/>
        </w:rPr>
        <w:t xml:space="preserve">the </w:t>
      </w:r>
      <w:r w:rsidR="00F52373">
        <w:rPr>
          <w:rFonts w:ascii="Times New Roman" w:hAnsi="Times New Roman" w:cs="Times New Roman"/>
          <w:color w:val="000000"/>
        </w:rPr>
        <w:t xml:space="preserve">full </w:t>
      </w:r>
      <w:r w:rsidR="00786173" w:rsidRPr="001D275C">
        <w:rPr>
          <w:rFonts w:ascii="Times New Roman" w:hAnsi="Times New Roman" w:cs="Times New Roman"/>
          <w:color w:val="000000"/>
        </w:rPr>
        <w:t>array of services on the con</w:t>
      </w:r>
      <w:r w:rsidR="00573A8A" w:rsidRPr="001D275C">
        <w:rPr>
          <w:rFonts w:ascii="Times New Roman" w:hAnsi="Times New Roman" w:cs="Times New Roman"/>
          <w:color w:val="000000"/>
        </w:rPr>
        <w:t>tinuum of</w:t>
      </w:r>
      <w:r w:rsidR="00786173" w:rsidRPr="001D275C">
        <w:rPr>
          <w:rFonts w:ascii="Times New Roman" w:hAnsi="Times New Roman" w:cs="Times New Roman"/>
          <w:color w:val="000000"/>
        </w:rPr>
        <w:t xml:space="preserve"> care (in</w:t>
      </w:r>
      <w:r w:rsidRPr="00E02D5D">
        <w:rPr>
          <w:rFonts w:ascii="Times New Roman" w:hAnsi="Times New Roman" w:cs="Times New Roman"/>
          <w:color w:val="000000"/>
        </w:rPr>
        <w:t xml:space="preserve">dependent living, assisted living, memory care, and skilled nursing </w:t>
      </w:r>
      <w:r w:rsidR="00BF71F1" w:rsidRPr="001D275C">
        <w:rPr>
          <w:rFonts w:ascii="Times New Roman" w:hAnsi="Times New Roman" w:cs="Times New Roman"/>
          <w:color w:val="000000"/>
        </w:rPr>
        <w:t xml:space="preserve">/ health center </w:t>
      </w:r>
      <w:r w:rsidRPr="00E02D5D">
        <w:rPr>
          <w:rFonts w:ascii="Times New Roman" w:hAnsi="Times New Roman" w:cs="Times New Roman"/>
          <w:color w:val="000000"/>
        </w:rPr>
        <w:t xml:space="preserve">services) to individuals under the terms of “continuing care agreements”. </w:t>
      </w:r>
      <w:r w:rsidR="00573A8A" w:rsidRPr="001D275C">
        <w:rPr>
          <w:rFonts w:ascii="Times New Roman" w:hAnsi="Times New Roman" w:cs="Times New Roman"/>
          <w:color w:val="000000"/>
        </w:rPr>
        <w:t xml:space="preserve">These </w:t>
      </w:r>
      <w:r w:rsidRPr="00E02D5D">
        <w:rPr>
          <w:rFonts w:ascii="Times New Roman" w:hAnsi="Times New Roman" w:cs="Times New Roman"/>
          <w:color w:val="000000"/>
        </w:rPr>
        <w:t>“</w:t>
      </w:r>
      <w:r w:rsidR="00573A8A" w:rsidRPr="001D275C">
        <w:rPr>
          <w:rFonts w:ascii="Times New Roman" w:hAnsi="Times New Roman" w:cs="Times New Roman"/>
          <w:color w:val="000000"/>
        </w:rPr>
        <w:t>c</w:t>
      </w:r>
      <w:r w:rsidRPr="00E02D5D">
        <w:rPr>
          <w:rFonts w:ascii="Times New Roman" w:hAnsi="Times New Roman" w:cs="Times New Roman"/>
          <w:color w:val="000000"/>
        </w:rPr>
        <w:t xml:space="preserve">ontinuing care agreements” are </w:t>
      </w:r>
      <w:r w:rsidR="00573A8A" w:rsidRPr="001D275C">
        <w:rPr>
          <w:rFonts w:ascii="Times New Roman" w:hAnsi="Times New Roman" w:cs="Times New Roman"/>
          <w:color w:val="000000"/>
        </w:rPr>
        <w:t xml:space="preserve">a statutory creation and </w:t>
      </w:r>
      <w:r w:rsidR="00F52373">
        <w:rPr>
          <w:rFonts w:ascii="Times New Roman" w:hAnsi="Times New Roman" w:cs="Times New Roman"/>
          <w:color w:val="000000"/>
        </w:rPr>
        <w:t xml:space="preserve">imply that a </w:t>
      </w:r>
      <w:r w:rsidR="00573A8A" w:rsidRPr="00F52373">
        <w:rPr>
          <w:rFonts w:ascii="Times New Roman" w:hAnsi="Times New Roman" w:cs="Times New Roman"/>
          <w:color w:val="000000"/>
        </w:rPr>
        <w:t xml:space="preserve">resident </w:t>
      </w:r>
      <w:r w:rsidR="00B01235">
        <w:rPr>
          <w:rFonts w:ascii="Times New Roman" w:hAnsi="Times New Roman" w:cs="Times New Roman"/>
          <w:color w:val="000000"/>
        </w:rPr>
        <w:t xml:space="preserve">is </w:t>
      </w:r>
      <w:r w:rsidR="00573A8A" w:rsidRPr="00F52373">
        <w:rPr>
          <w:rFonts w:ascii="Times New Roman" w:hAnsi="Times New Roman" w:cs="Times New Roman"/>
          <w:color w:val="000000"/>
        </w:rPr>
        <w:t>to pay an entrance fees of at least $25,000</w:t>
      </w:r>
      <w:r w:rsidR="00573A8A" w:rsidRPr="001D275C">
        <w:rPr>
          <w:rFonts w:ascii="Times New Roman" w:hAnsi="Times New Roman" w:cs="Times New Roman"/>
          <w:color w:val="000000"/>
        </w:rPr>
        <w:t xml:space="preserve"> in exchange for the provision by the CCRC of among other things: housing, meals and related services, medical services, and other related health services.  </w:t>
      </w:r>
      <w:r w:rsidR="00573A8A" w:rsidRPr="00AC344A">
        <w:rPr>
          <w:rFonts w:ascii="Times New Roman" w:hAnsi="Times New Roman" w:cs="Times New Roman"/>
          <w:i/>
          <w:iCs/>
          <w:color w:val="000000"/>
        </w:rPr>
        <w:t xml:space="preserve">See Ind. Code </w:t>
      </w:r>
      <w:r w:rsidR="00BF71F1" w:rsidRPr="00AC344A">
        <w:rPr>
          <w:rFonts w:ascii="Times New Roman" w:hAnsi="Times New Roman" w:cs="Times New Roman"/>
          <w:i/>
          <w:iCs/>
          <w:color w:val="000000"/>
        </w:rPr>
        <w:t>23-2-4-1</w:t>
      </w:r>
      <w:r w:rsidR="00BF71F1" w:rsidRPr="001D275C">
        <w:rPr>
          <w:rFonts w:ascii="Times New Roman" w:hAnsi="Times New Roman" w:cs="Times New Roman"/>
          <w:color w:val="000000"/>
        </w:rPr>
        <w:t xml:space="preserve">.  </w:t>
      </w:r>
      <w:r w:rsidR="007A7013" w:rsidRPr="00C8348B">
        <w:rPr>
          <w:rFonts w:ascii="Times New Roman" w:hAnsi="Times New Roman" w:cs="Times New Roman"/>
        </w:rPr>
        <w:t xml:space="preserve">Notably, </w:t>
      </w:r>
      <w:r w:rsidR="00DF3DF6">
        <w:rPr>
          <w:rFonts w:ascii="Times New Roman" w:hAnsi="Times New Roman" w:cs="Times New Roman"/>
        </w:rPr>
        <w:t xml:space="preserve">CCRC </w:t>
      </w:r>
      <w:r w:rsidR="007A7013" w:rsidRPr="00C8348B">
        <w:rPr>
          <w:rFonts w:ascii="Times New Roman" w:hAnsi="Times New Roman" w:cs="Times New Roman"/>
        </w:rPr>
        <w:t>entrance fees</w:t>
      </w:r>
      <w:r w:rsidR="00DF3DF6">
        <w:rPr>
          <w:rFonts w:ascii="Times New Roman" w:hAnsi="Times New Roman" w:cs="Times New Roman"/>
        </w:rPr>
        <w:t>, w</w:t>
      </w:r>
      <w:r w:rsidR="007A7013" w:rsidRPr="00C8348B">
        <w:rPr>
          <w:rFonts w:ascii="Times New Roman" w:hAnsi="Times New Roman" w:cs="Times New Roman"/>
        </w:rPr>
        <w:t xml:space="preserve">hich have </w:t>
      </w:r>
      <w:r w:rsidR="00DF3DF6">
        <w:rPr>
          <w:rFonts w:ascii="Times New Roman" w:hAnsi="Times New Roman" w:cs="Times New Roman"/>
        </w:rPr>
        <w:t xml:space="preserve">improperly </w:t>
      </w:r>
      <w:r w:rsidR="007A7013" w:rsidRPr="00C8348B">
        <w:rPr>
          <w:rFonts w:ascii="Times New Roman" w:hAnsi="Times New Roman" w:cs="Times New Roman"/>
        </w:rPr>
        <w:t xml:space="preserve">come under scrutiny by a few county </w:t>
      </w:r>
      <w:r w:rsidR="007A7013" w:rsidRPr="00C8348B">
        <w:rPr>
          <w:rFonts w:ascii="Times New Roman" w:hAnsi="Times New Roman" w:cs="Times New Roman"/>
        </w:rPr>
        <w:lastRenderedPageBreak/>
        <w:t>assessors in the past couple of years</w:t>
      </w:r>
      <w:r w:rsidR="00DF3DF6">
        <w:rPr>
          <w:rFonts w:ascii="Times New Roman" w:hAnsi="Times New Roman" w:cs="Times New Roman"/>
        </w:rPr>
        <w:t xml:space="preserve"> in attempt to void exempt status, are </w:t>
      </w:r>
      <w:r w:rsidR="007A7013" w:rsidRPr="002F72E4">
        <w:rPr>
          <w:rFonts w:ascii="Times New Roman" w:hAnsi="Times New Roman" w:cs="Times New Roman"/>
        </w:rPr>
        <w:t xml:space="preserve">required to be </w:t>
      </w:r>
      <w:r w:rsidR="007A7013" w:rsidRPr="00C8348B">
        <w:rPr>
          <w:rFonts w:ascii="Times New Roman" w:hAnsi="Times New Roman" w:cs="Times New Roman"/>
        </w:rPr>
        <w:t>“directly”</w:t>
      </w:r>
      <w:r w:rsidR="00DF3DF6">
        <w:rPr>
          <w:rFonts w:ascii="Times New Roman" w:hAnsi="Times New Roman" w:cs="Times New Roman"/>
        </w:rPr>
        <w:t xml:space="preserve"> </w:t>
      </w:r>
      <w:r w:rsidR="007A7013" w:rsidRPr="00C8348B">
        <w:rPr>
          <w:rFonts w:ascii="Times New Roman" w:hAnsi="Times New Roman" w:cs="Times New Roman"/>
        </w:rPr>
        <w:t>used for “the construction, maintenance, or operation of that particular continuing care retirement community</w:t>
      </w:r>
      <w:r w:rsidR="00DF3DF6">
        <w:rPr>
          <w:rFonts w:ascii="Times New Roman" w:hAnsi="Times New Roman" w:cs="Times New Roman"/>
        </w:rPr>
        <w:t xml:space="preserve">,” and </w:t>
      </w:r>
      <w:r w:rsidR="007A7013" w:rsidRPr="00C8348B">
        <w:rPr>
          <w:rFonts w:ascii="Times New Roman" w:hAnsi="Times New Roman" w:cs="Times New Roman"/>
        </w:rPr>
        <w:t xml:space="preserve">not distributed to shareholders or other parties as dividends. </w:t>
      </w:r>
      <w:r w:rsidR="007A7013" w:rsidRPr="002F72E4">
        <w:rPr>
          <w:rFonts w:ascii="Times New Roman" w:hAnsi="Times New Roman" w:cs="Times New Roman"/>
        </w:rPr>
        <w:t xml:space="preserve"> </w:t>
      </w:r>
      <w:r w:rsidR="00DF3DF6" w:rsidRPr="00AC344A">
        <w:rPr>
          <w:rFonts w:ascii="Times New Roman" w:hAnsi="Times New Roman" w:cs="Times New Roman"/>
          <w:i/>
          <w:iCs/>
          <w:color w:val="000000"/>
        </w:rPr>
        <w:t>See Ind. Code 23-2-4-</w:t>
      </w:r>
      <w:r w:rsidR="00DF3DF6">
        <w:rPr>
          <w:rFonts w:ascii="Times New Roman" w:hAnsi="Times New Roman" w:cs="Times New Roman"/>
          <w:i/>
          <w:iCs/>
          <w:color w:val="000000"/>
        </w:rPr>
        <w:t>12</w:t>
      </w:r>
      <w:r w:rsidR="00DF3DF6" w:rsidRPr="001D275C">
        <w:rPr>
          <w:rFonts w:ascii="Times New Roman" w:hAnsi="Times New Roman" w:cs="Times New Roman"/>
          <w:color w:val="000000"/>
        </w:rPr>
        <w:t>.</w:t>
      </w:r>
      <w:r w:rsidR="00DF3DF6">
        <w:rPr>
          <w:rFonts w:ascii="Times New Roman" w:hAnsi="Times New Roman" w:cs="Times New Roman"/>
        </w:rPr>
        <w:t xml:space="preserve">  </w:t>
      </w:r>
      <w:r w:rsidR="007A7013" w:rsidRPr="002F72E4">
        <w:rPr>
          <w:rFonts w:ascii="Times New Roman" w:hAnsi="Times New Roman" w:cs="Times New Roman"/>
        </w:rPr>
        <w:t>CCRCs must provide the Sec. of State’s Office annual audited financial statements to ensure transparency and compliance with all the above conditions</w:t>
      </w:r>
      <w:r w:rsidR="00DF3DF6">
        <w:rPr>
          <w:rFonts w:ascii="Times New Roman" w:hAnsi="Times New Roman" w:cs="Times New Roman"/>
        </w:rPr>
        <w:t xml:space="preserve"> </w:t>
      </w:r>
      <w:r w:rsidR="007A7013" w:rsidRPr="002F72E4">
        <w:rPr>
          <w:rFonts w:ascii="Times New Roman" w:hAnsi="Times New Roman" w:cs="Times New Roman"/>
        </w:rPr>
        <w:t>- and more.</w:t>
      </w:r>
    </w:p>
    <w:p w14:paraId="4C121EC7" w14:textId="3FC674F0" w:rsidR="00FC7762" w:rsidRDefault="00F52373" w:rsidP="006C585B">
      <w:pPr>
        <w:ind w:right="720"/>
        <w:jc w:val="both"/>
        <w:rPr>
          <w:rFonts w:ascii="Times New Roman" w:hAnsi="Times New Roman" w:cs="Times New Roman"/>
          <w:color w:val="000000"/>
        </w:rPr>
      </w:pPr>
      <w:r w:rsidRPr="00F52373">
        <w:rPr>
          <w:rFonts w:ascii="Times New Roman" w:hAnsi="Times New Roman" w:cs="Times New Roman"/>
        </w:rPr>
        <w:t>At no time is a resident responsible for the re-occupancy, maintenance</w:t>
      </w:r>
      <w:r>
        <w:rPr>
          <w:rFonts w:ascii="Times New Roman" w:hAnsi="Times New Roman" w:cs="Times New Roman"/>
        </w:rPr>
        <w:t xml:space="preserve"> </w:t>
      </w:r>
      <w:r w:rsidRPr="00F52373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other</w:t>
      </w:r>
      <w:r w:rsidRPr="00F52373">
        <w:rPr>
          <w:rFonts w:ascii="Times New Roman" w:hAnsi="Times New Roman" w:cs="Times New Roman"/>
        </w:rPr>
        <w:t xml:space="preserve"> </w:t>
      </w:r>
      <w:r w:rsidRPr="00F52373">
        <w:rPr>
          <w:rFonts w:ascii="Times New Roman" w:hAnsi="Times New Roman" w:cs="Times New Roman"/>
          <w:color w:val="000000"/>
        </w:rPr>
        <w:t>housing related ownership risk</w:t>
      </w:r>
      <w:r>
        <w:rPr>
          <w:rFonts w:ascii="Times New Roman" w:hAnsi="Times New Roman" w:cs="Times New Roman"/>
          <w:color w:val="000000"/>
        </w:rPr>
        <w:t>s</w:t>
      </w:r>
      <w:r w:rsidRPr="00F52373">
        <w:rPr>
          <w:rFonts w:ascii="Times New Roman" w:hAnsi="Times New Roman" w:cs="Times New Roman"/>
          <w:color w:val="000000"/>
        </w:rPr>
        <w:t xml:space="preserve"> of the unit they are occupying.  The residency agreement transfers this responsibility and risk </w:t>
      </w:r>
      <w:r w:rsidR="00DF3DF6">
        <w:rPr>
          <w:rFonts w:ascii="Times New Roman" w:hAnsi="Times New Roman" w:cs="Times New Roman"/>
          <w:color w:val="000000"/>
        </w:rPr>
        <w:t xml:space="preserve">(along with </w:t>
      </w:r>
      <w:proofErr w:type="gramStart"/>
      <w:r w:rsidR="00DF3DF6">
        <w:rPr>
          <w:rFonts w:ascii="Times New Roman" w:hAnsi="Times New Roman" w:cs="Times New Roman"/>
          <w:color w:val="000000"/>
        </w:rPr>
        <w:t>all of</w:t>
      </w:r>
      <w:proofErr w:type="gramEnd"/>
      <w:r w:rsidR="00DF3DF6">
        <w:rPr>
          <w:rFonts w:ascii="Times New Roman" w:hAnsi="Times New Roman" w:cs="Times New Roman"/>
          <w:color w:val="000000"/>
        </w:rPr>
        <w:t xml:space="preserve"> the </w:t>
      </w:r>
      <w:proofErr w:type="gramStart"/>
      <w:r w:rsidR="00DF3DF6">
        <w:rPr>
          <w:rFonts w:ascii="Times New Roman" w:hAnsi="Times New Roman" w:cs="Times New Roman"/>
          <w:color w:val="000000"/>
        </w:rPr>
        <w:t>resident’s</w:t>
      </w:r>
      <w:proofErr w:type="gramEnd"/>
      <w:r w:rsidR="00DF3DF6">
        <w:rPr>
          <w:rFonts w:ascii="Times New Roman" w:hAnsi="Times New Roman" w:cs="Times New Roman"/>
          <w:color w:val="000000"/>
        </w:rPr>
        <w:t xml:space="preserve"> health care liabilities) </w:t>
      </w:r>
      <w:r w:rsidRPr="00F52373">
        <w:rPr>
          <w:rFonts w:ascii="Times New Roman" w:hAnsi="Times New Roman" w:cs="Times New Roman"/>
          <w:color w:val="000000"/>
        </w:rPr>
        <w:t xml:space="preserve">to the </w:t>
      </w:r>
      <w:r w:rsidR="00B01235">
        <w:rPr>
          <w:rFonts w:ascii="Times New Roman" w:hAnsi="Times New Roman" w:cs="Times New Roman"/>
          <w:color w:val="000000"/>
        </w:rPr>
        <w:t>CCRC</w:t>
      </w:r>
      <w:r w:rsidRPr="00F52373">
        <w:rPr>
          <w:rFonts w:ascii="Times New Roman" w:hAnsi="Times New Roman" w:cs="Times New Roman"/>
          <w:color w:val="000000"/>
        </w:rPr>
        <w:t xml:space="preserve">.  </w:t>
      </w:r>
      <w:r w:rsidR="00573A8A" w:rsidRPr="001D275C">
        <w:rPr>
          <w:rFonts w:ascii="Times New Roman" w:hAnsi="Times New Roman" w:cs="Times New Roman"/>
          <w:color w:val="000000"/>
        </w:rPr>
        <w:t>What is not required</w:t>
      </w:r>
      <w:r>
        <w:rPr>
          <w:rFonts w:ascii="Times New Roman" w:hAnsi="Times New Roman" w:cs="Times New Roman"/>
          <w:color w:val="000000"/>
        </w:rPr>
        <w:t xml:space="preserve"> by statute</w:t>
      </w:r>
      <w:r w:rsidR="00573A8A" w:rsidRPr="001D275C">
        <w:rPr>
          <w:rFonts w:ascii="Times New Roman" w:hAnsi="Times New Roman" w:cs="Times New Roman"/>
          <w:color w:val="000000"/>
        </w:rPr>
        <w:t xml:space="preserve">, </w:t>
      </w:r>
      <w:r w:rsidR="00573A8A" w:rsidRPr="00F52373">
        <w:rPr>
          <w:rFonts w:ascii="Times New Roman" w:hAnsi="Times New Roman" w:cs="Times New Roman"/>
          <w:color w:val="000000"/>
          <w:u w:val="single"/>
        </w:rPr>
        <w:t>but</w:t>
      </w:r>
      <w:r w:rsidR="00BF71F1" w:rsidRPr="00F52373">
        <w:rPr>
          <w:rFonts w:ascii="Times New Roman" w:hAnsi="Times New Roman" w:cs="Times New Roman"/>
          <w:color w:val="000000"/>
          <w:u w:val="single"/>
        </w:rPr>
        <w:t xml:space="preserve"> is provided by every CCRC</w:t>
      </w:r>
      <w:r w:rsidR="00BF71F1" w:rsidRPr="001D275C">
        <w:rPr>
          <w:rFonts w:ascii="Times New Roman" w:hAnsi="Times New Roman" w:cs="Times New Roman"/>
          <w:color w:val="000000"/>
        </w:rPr>
        <w:t>, is a sense of community – an absence of isolation, and relief from the condition of loneliness that so many seniors suffer from on a day</w:t>
      </w:r>
      <w:r w:rsidR="00AF726C">
        <w:rPr>
          <w:rFonts w:ascii="Times New Roman" w:hAnsi="Times New Roman" w:cs="Times New Roman"/>
          <w:color w:val="000000"/>
        </w:rPr>
        <w:t>-</w:t>
      </w:r>
      <w:r w:rsidR="00BF71F1" w:rsidRPr="001D275C">
        <w:rPr>
          <w:rFonts w:ascii="Times New Roman" w:hAnsi="Times New Roman" w:cs="Times New Roman"/>
          <w:color w:val="000000"/>
        </w:rPr>
        <w:t>to</w:t>
      </w:r>
      <w:r w:rsidR="00AF726C">
        <w:rPr>
          <w:rFonts w:ascii="Times New Roman" w:hAnsi="Times New Roman" w:cs="Times New Roman"/>
          <w:color w:val="000000"/>
        </w:rPr>
        <w:t>-</w:t>
      </w:r>
      <w:r w:rsidR="00BF71F1" w:rsidRPr="001D275C">
        <w:rPr>
          <w:rFonts w:ascii="Times New Roman" w:hAnsi="Times New Roman" w:cs="Times New Roman"/>
          <w:color w:val="000000"/>
        </w:rPr>
        <w:t xml:space="preserve">day basis.  </w:t>
      </w:r>
    </w:p>
    <w:p w14:paraId="7A7CF924" w14:textId="51E17164" w:rsidR="00BF71F1" w:rsidRPr="001D275C" w:rsidRDefault="00DF3DF6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 xml:space="preserve">More on </w:t>
      </w:r>
      <w:r w:rsidR="00BF71F1" w:rsidRPr="001D275C">
        <w:rPr>
          <w:rFonts w:ascii="Times New Roman" w:hAnsi="Times New Roman" w:cs="Times New Roman"/>
          <w:color w:val="000000"/>
          <w:u w:val="single"/>
        </w:rPr>
        <w:t xml:space="preserve">Entry Fees </w:t>
      </w:r>
    </w:p>
    <w:p w14:paraId="6493187D" w14:textId="77777777" w:rsidR="00BF71F1" w:rsidRPr="001D275C" w:rsidRDefault="00BF71F1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  <w:color w:val="000000"/>
        </w:rPr>
      </w:pPr>
    </w:p>
    <w:p w14:paraId="79D5C197" w14:textId="6DE2B712" w:rsidR="00AF726C" w:rsidRDefault="00BF71F1" w:rsidP="006C585B">
      <w:pPr>
        <w:pStyle w:val="elementtoproof"/>
        <w:ind w:right="720"/>
        <w:jc w:val="both"/>
        <w:rPr>
          <w:rFonts w:ascii="Times New Roman" w:eastAsia="Times New Roman" w:hAnsi="Times New Roman" w:cs="Times New Roman"/>
        </w:rPr>
      </w:pPr>
      <w:r w:rsidRPr="001D275C">
        <w:rPr>
          <w:rFonts w:ascii="Times New Roman" w:hAnsi="Times New Roman" w:cs="Times New Roman"/>
          <w:color w:val="000000"/>
        </w:rPr>
        <w:t xml:space="preserve">Entry fees typically come in two forms:  </w:t>
      </w:r>
      <w:r w:rsidR="00E02D5D" w:rsidRPr="001D275C">
        <w:rPr>
          <w:rFonts w:ascii="Times New Roman" w:hAnsi="Times New Roman" w:cs="Times New Roman"/>
          <w:color w:val="000000"/>
        </w:rPr>
        <w:t>(</w:t>
      </w:r>
      <w:r w:rsidRPr="001D275C">
        <w:rPr>
          <w:rFonts w:ascii="Times New Roman" w:hAnsi="Times New Roman" w:cs="Times New Roman"/>
          <w:color w:val="000000"/>
        </w:rPr>
        <w:t>1</w:t>
      </w:r>
      <w:r w:rsidR="00E02D5D" w:rsidRPr="001D275C">
        <w:rPr>
          <w:rFonts w:ascii="Times New Roman" w:hAnsi="Times New Roman" w:cs="Times New Roman"/>
          <w:color w:val="000000"/>
        </w:rPr>
        <w:t xml:space="preserve">) a “declining balance” </w:t>
      </w:r>
      <w:r w:rsidRPr="001D275C">
        <w:rPr>
          <w:rFonts w:ascii="Times New Roman" w:hAnsi="Times New Roman" w:cs="Times New Roman"/>
          <w:color w:val="000000"/>
        </w:rPr>
        <w:t>or “traditional life occupancy” entry fee</w:t>
      </w:r>
      <w:r w:rsidR="00AF726C">
        <w:rPr>
          <w:rFonts w:ascii="Times New Roman" w:hAnsi="Times New Roman" w:cs="Times New Roman"/>
          <w:color w:val="000000"/>
        </w:rPr>
        <w:t xml:space="preserve"> </w:t>
      </w:r>
      <w:r w:rsidR="00E02D5D" w:rsidRPr="001D275C">
        <w:rPr>
          <w:rFonts w:ascii="Times New Roman" w:hAnsi="Times New Roman" w:cs="Times New Roman"/>
          <w:color w:val="000000"/>
        </w:rPr>
        <w:t>where</w:t>
      </w:r>
      <w:r w:rsidRPr="001D275C">
        <w:rPr>
          <w:rFonts w:ascii="Times New Roman" w:hAnsi="Times New Roman" w:cs="Times New Roman"/>
          <w:color w:val="000000"/>
        </w:rPr>
        <w:t xml:space="preserve"> </w:t>
      </w:r>
      <w:r w:rsidR="00E02D5D" w:rsidRPr="001D275C">
        <w:rPr>
          <w:rFonts w:ascii="Times New Roman" w:hAnsi="Times New Roman" w:cs="Times New Roman"/>
          <w:color w:val="000000"/>
        </w:rPr>
        <w:t xml:space="preserve">the </w:t>
      </w:r>
      <w:r w:rsidRPr="00AF726C">
        <w:rPr>
          <w:rFonts w:ascii="Times New Roman" w:hAnsi="Times New Roman" w:cs="Times New Roman"/>
        </w:rPr>
        <w:t xml:space="preserve">typically lower upfront entrance </w:t>
      </w:r>
      <w:r w:rsidR="00E02D5D" w:rsidRPr="00AF726C">
        <w:rPr>
          <w:rFonts w:ascii="Times New Roman" w:hAnsi="Times New Roman" w:cs="Times New Roman"/>
        </w:rPr>
        <w:t>fee is amortized monthly over 48 months,</w:t>
      </w:r>
      <w:r w:rsidR="00B01235">
        <w:rPr>
          <w:rFonts w:ascii="Times New Roman" w:hAnsi="Times New Roman" w:cs="Times New Roman"/>
        </w:rPr>
        <w:t xml:space="preserve"> or</w:t>
      </w:r>
      <w:r w:rsidR="00E02D5D" w:rsidRPr="00AF726C">
        <w:rPr>
          <w:rFonts w:ascii="Times New Roman" w:hAnsi="Times New Roman" w:cs="Times New Roman"/>
        </w:rPr>
        <w:t xml:space="preserve"> (</w:t>
      </w:r>
      <w:r w:rsidR="00F50B7F" w:rsidRPr="00AF726C">
        <w:rPr>
          <w:rFonts w:ascii="Times New Roman" w:hAnsi="Times New Roman" w:cs="Times New Roman"/>
        </w:rPr>
        <w:t>2</w:t>
      </w:r>
      <w:r w:rsidR="00E02D5D" w:rsidRPr="00AF726C">
        <w:rPr>
          <w:rFonts w:ascii="Times New Roman" w:hAnsi="Times New Roman" w:cs="Times New Roman"/>
        </w:rPr>
        <w:t xml:space="preserve">) </w:t>
      </w:r>
      <w:r w:rsidRPr="00AF726C">
        <w:rPr>
          <w:rFonts w:ascii="Times New Roman" w:hAnsi="Times New Roman" w:cs="Times New Roman"/>
        </w:rPr>
        <w:t>a</w:t>
      </w:r>
      <w:r w:rsidR="00F50B7F" w:rsidRPr="00AF726C">
        <w:rPr>
          <w:rFonts w:ascii="Times New Roman" w:hAnsi="Times New Roman" w:cs="Times New Roman"/>
        </w:rPr>
        <w:t xml:space="preserve"> one-time fee of </w:t>
      </w:r>
      <w:r w:rsidRPr="00AF726C">
        <w:rPr>
          <w:rFonts w:ascii="Times New Roman" w:hAnsi="Times New Roman" w:cs="Times New Roman"/>
        </w:rPr>
        <w:t>8</w:t>
      </w:r>
      <w:r w:rsidR="001D275C" w:rsidRPr="00AF726C">
        <w:rPr>
          <w:rFonts w:ascii="Times New Roman" w:hAnsi="Times New Roman" w:cs="Times New Roman"/>
        </w:rPr>
        <w:t xml:space="preserve">0% </w:t>
      </w:r>
      <w:r w:rsidR="00F50B7F" w:rsidRPr="00AF726C">
        <w:rPr>
          <w:rFonts w:ascii="Times New Roman" w:hAnsi="Times New Roman" w:cs="Times New Roman"/>
        </w:rPr>
        <w:t xml:space="preserve">at move-in.  </w:t>
      </w:r>
      <w:r w:rsidR="001D275C" w:rsidRPr="00AF726C">
        <w:rPr>
          <w:rFonts w:ascii="Times New Roman" w:hAnsi="Times New Roman" w:cs="Times New Roman"/>
        </w:rPr>
        <w:t xml:space="preserve">In this second scenario, </w:t>
      </w:r>
      <w:r w:rsidR="001D275C" w:rsidRPr="00AF726C">
        <w:rPr>
          <w:rFonts w:ascii="Times New Roman" w:eastAsia="Times New Roman" w:hAnsi="Times New Roman" w:cs="Times New Roman"/>
        </w:rPr>
        <w:t xml:space="preserve">80% goes back to the estate or designated beneficiary upon the passing of the </w:t>
      </w:r>
      <w:r w:rsidR="00AF726C" w:rsidRPr="00AF726C">
        <w:rPr>
          <w:rFonts w:ascii="Times New Roman" w:eastAsia="Times New Roman" w:hAnsi="Times New Roman" w:cs="Times New Roman"/>
        </w:rPr>
        <w:t>resident</w:t>
      </w:r>
      <w:r w:rsidR="00B01235">
        <w:rPr>
          <w:rFonts w:ascii="Times New Roman" w:eastAsia="Times New Roman" w:hAnsi="Times New Roman" w:cs="Times New Roman"/>
        </w:rPr>
        <w:t xml:space="preserve">; </w:t>
      </w:r>
      <w:r w:rsidR="001D275C" w:rsidRPr="00AF726C">
        <w:rPr>
          <w:rFonts w:ascii="Times New Roman" w:eastAsia="Times New Roman" w:hAnsi="Times New Roman" w:cs="Times New Roman"/>
        </w:rPr>
        <w:t xml:space="preserve">the remaining balance (20%) is invested back into the campus.  Entry fees vary greatly across the state and will often differ on the same CCRC campus.  </w:t>
      </w:r>
      <w:r w:rsidR="002F2F68">
        <w:rPr>
          <w:rFonts w:ascii="Times New Roman" w:eastAsia="Times New Roman" w:hAnsi="Times New Roman" w:cs="Times New Roman"/>
        </w:rPr>
        <w:t xml:space="preserve">They are based on </w:t>
      </w:r>
      <w:r w:rsidR="001D275C" w:rsidRPr="00AF726C">
        <w:rPr>
          <w:rFonts w:ascii="Times New Roman" w:eastAsia="Times New Roman" w:hAnsi="Times New Roman" w:cs="Times New Roman"/>
        </w:rPr>
        <w:t>the type of home the resident select</w:t>
      </w:r>
      <w:r w:rsidR="00AF726C" w:rsidRPr="00AF726C">
        <w:rPr>
          <w:rFonts w:ascii="Times New Roman" w:eastAsia="Times New Roman" w:hAnsi="Times New Roman" w:cs="Times New Roman"/>
        </w:rPr>
        <w:t>s (</w:t>
      </w:r>
      <w:r w:rsidR="001D275C" w:rsidRPr="00AF726C">
        <w:rPr>
          <w:rFonts w:ascii="Times New Roman" w:eastAsia="Times New Roman" w:hAnsi="Times New Roman" w:cs="Times New Roman"/>
        </w:rPr>
        <w:t xml:space="preserve">single family home, condo </w:t>
      </w:r>
      <w:r w:rsidR="00AF726C">
        <w:rPr>
          <w:rFonts w:ascii="Times New Roman" w:eastAsia="Times New Roman" w:hAnsi="Times New Roman" w:cs="Times New Roman"/>
        </w:rPr>
        <w:t xml:space="preserve">or </w:t>
      </w:r>
      <w:r w:rsidR="001D275C" w:rsidRPr="00AF726C">
        <w:rPr>
          <w:rFonts w:ascii="Times New Roman" w:eastAsia="Times New Roman" w:hAnsi="Times New Roman" w:cs="Times New Roman"/>
        </w:rPr>
        <w:t>apartment)</w:t>
      </w:r>
      <w:r w:rsidR="00AF726C" w:rsidRPr="00AF726C">
        <w:rPr>
          <w:rFonts w:ascii="Times New Roman" w:eastAsia="Times New Roman" w:hAnsi="Times New Roman" w:cs="Times New Roman"/>
        </w:rPr>
        <w:t>,</w:t>
      </w:r>
      <w:r w:rsidR="001D275C" w:rsidRPr="00AF726C">
        <w:rPr>
          <w:rFonts w:ascii="Times New Roman" w:eastAsia="Times New Roman" w:hAnsi="Times New Roman" w:cs="Times New Roman"/>
        </w:rPr>
        <w:t xml:space="preserve"> the square footage of </w:t>
      </w:r>
      <w:r w:rsidR="00AF726C">
        <w:rPr>
          <w:rFonts w:ascii="Times New Roman" w:eastAsia="Times New Roman" w:hAnsi="Times New Roman" w:cs="Times New Roman"/>
        </w:rPr>
        <w:t xml:space="preserve">the </w:t>
      </w:r>
      <w:r w:rsidR="00B01235">
        <w:rPr>
          <w:rFonts w:ascii="Times New Roman" w:eastAsia="Times New Roman" w:hAnsi="Times New Roman" w:cs="Times New Roman"/>
        </w:rPr>
        <w:t xml:space="preserve">selected </w:t>
      </w:r>
      <w:r w:rsidR="001D275C" w:rsidRPr="00AF726C">
        <w:rPr>
          <w:rFonts w:ascii="Times New Roman" w:eastAsia="Times New Roman" w:hAnsi="Times New Roman" w:cs="Times New Roman"/>
        </w:rPr>
        <w:t xml:space="preserve">dwelling, the number and type of amenities offered to residents on a campus, etc. </w:t>
      </w:r>
    </w:p>
    <w:p w14:paraId="3857B5D9" w14:textId="77777777" w:rsidR="00AF726C" w:rsidRDefault="00AF726C" w:rsidP="006C585B">
      <w:pPr>
        <w:pStyle w:val="elementtoproof"/>
        <w:ind w:right="720"/>
        <w:jc w:val="both"/>
        <w:rPr>
          <w:rFonts w:ascii="Times New Roman" w:eastAsia="Times New Roman" w:hAnsi="Times New Roman" w:cs="Times New Roman"/>
        </w:rPr>
      </w:pPr>
    </w:p>
    <w:p w14:paraId="69A2C5E5" w14:textId="1447015F" w:rsidR="00F50B7F" w:rsidRPr="00AF726C" w:rsidRDefault="00F50B7F" w:rsidP="006C585B">
      <w:pPr>
        <w:pStyle w:val="elementtoproof"/>
        <w:ind w:right="720"/>
        <w:jc w:val="both"/>
        <w:rPr>
          <w:rFonts w:ascii="Times New Roman" w:hAnsi="Times New Roman" w:cs="Times New Roman"/>
        </w:rPr>
      </w:pPr>
      <w:r w:rsidRPr="00AF726C">
        <w:rPr>
          <w:rFonts w:ascii="Times New Roman" w:hAnsi="Times New Roman" w:cs="Times New Roman"/>
        </w:rPr>
        <w:t xml:space="preserve">Entry fees are not </w:t>
      </w:r>
      <w:r w:rsidR="00AF726C">
        <w:rPr>
          <w:rFonts w:ascii="Times New Roman" w:hAnsi="Times New Roman" w:cs="Times New Roman"/>
        </w:rPr>
        <w:t xml:space="preserve">typically </w:t>
      </w:r>
      <w:r w:rsidRPr="00AF726C">
        <w:rPr>
          <w:rFonts w:ascii="Times New Roman" w:hAnsi="Times New Roman" w:cs="Times New Roman"/>
        </w:rPr>
        <w:t>immediate revenue</w:t>
      </w:r>
      <w:r w:rsidR="00AF726C" w:rsidRPr="00AF726C">
        <w:rPr>
          <w:rFonts w:ascii="Times New Roman" w:hAnsi="Times New Roman" w:cs="Times New Roman"/>
        </w:rPr>
        <w:t xml:space="preserve"> to a CCRC</w:t>
      </w:r>
      <w:r w:rsidR="00AF726C">
        <w:rPr>
          <w:rFonts w:ascii="Times New Roman" w:hAnsi="Times New Roman" w:cs="Times New Roman"/>
        </w:rPr>
        <w:t xml:space="preserve">; </w:t>
      </w:r>
      <w:r w:rsidRPr="00AF726C">
        <w:rPr>
          <w:rFonts w:ascii="Times New Roman" w:hAnsi="Times New Roman" w:cs="Times New Roman"/>
        </w:rPr>
        <w:t xml:space="preserve">only a small portion is </w:t>
      </w:r>
      <w:proofErr w:type="gramStart"/>
      <w:r w:rsidRPr="00AF726C">
        <w:rPr>
          <w:rFonts w:ascii="Times New Roman" w:hAnsi="Times New Roman" w:cs="Times New Roman"/>
        </w:rPr>
        <w:t>actually revenue</w:t>
      </w:r>
      <w:proofErr w:type="gramEnd"/>
      <w:r w:rsidRPr="00AF726C">
        <w:rPr>
          <w:rFonts w:ascii="Times New Roman" w:hAnsi="Times New Roman" w:cs="Times New Roman"/>
        </w:rPr>
        <w:t>.  The remainder is a liability held by the organization and paid back to the resident upon surrender of the unit.</w:t>
      </w:r>
      <w:r w:rsidR="00AF726C">
        <w:rPr>
          <w:rFonts w:ascii="Times New Roman" w:hAnsi="Times New Roman" w:cs="Times New Roman"/>
        </w:rPr>
        <w:t xml:space="preserve">  </w:t>
      </w:r>
      <w:r w:rsidRPr="00AF726C">
        <w:rPr>
          <w:rFonts w:ascii="Times New Roman" w:hAnsi="Times New Roman" w:cs="Times New Roman"/>
        </w:rPr>
        <w:t>CCRC</w:t>
      </w:r>
      <w:r w:rsidR="00AF726C">
        <w:rPr>
          <w:rFonts w:ascii="Times New Roman" w:hAnsi="Times New Roman" w:cs="Times New Roman"/>
        </w:rPr>
        <w:t>’</w:t>
      </w:r>
      <w:r w:rsidRPr="00AF726C">
        <w:rPr>
          <w:rFonts w:ascii="Times New Roman" w:hAnsi="Times New Roman" w:cs="Times New Roman"/>
        </w:rPr>
        <w:t xml:space="preserve">s </w:t>
      </w:r>
      <w:r w:rsidR="00AF726C">
        <w:rPr>
          <w:rFonts w:ascii="Times New Roman" w:hAnsi="Times New Roman" w:cs="Times New Roman"/>
        </w:rPr>
        <w:t xml:space="preserve">often </w:t>
      </w:r>
      <w:r w:rsidRPr="00AF726C">
        <w:rPr>
          <w:rFonts w:ascii="Times New Roman" w:hAnsi="Times New Roman" w:cs="Times New Roman"/>
        </w:rPr>
        <w:t>have monthly service fees</w:t>
      </w:r>
      <w:r w:rsidR="002F2F68">
        <w:rPr>
          <w:rFonts w:ascii="Times New Roman" w:hAnsi="Times New Roman" w:cs="Times New Roman"/>
        </w:rPr>
        <w:t xml:space="preserve"> as well</w:t>
      </w:r>
      <w:r w:rsidR="00AF726C">
        <w:rPr>
          <w:rFonts w:ascii="Times New Roman" w:hAnsi="Times New Roman" w:cs="Times New Roman"/>
        </w:rPr>
        <w:t xml:space="preserve">  These might be </w:t>
      </w:r>
      <w:r w:rsidRPr="00AF726C">
        <w:rPr>
          <w:rFonts w:ascii="Times New Roman" w:hAnsi="Times New Roman" w:cs="Times New Roman"/>
        </w:rPr>
        <w:t xml:space="preserve">adjusted annually, with advanced notice to residents, and are used </w:t>
      </w:r>
      <w:r w:rsidR="00B01235">
        <w:rPr>
          <w:rFonts w:ascii="Times New Roman" w:hAnsi="Times New Roman" w:cs="Times New Roman"/>
        </w:rPr>
        <w:t>t</w:t>
      </w:r>
      <w:r w:rsidRPr="00AF726C">
        <w:rPr>
          <w:rFonts w:ascii="Times New Roman" w:hAnsi="Times New Roman" w:cs="Times New Roman"/>
        </w:rPr>
        <w:t xml:space="preserve">o </w:t>
      </w:r>
      <w:r w:rsidR="00B01235">
        <w:rPr>
          <w:rFonts w:ascii="Times New Roman" w:hAnsi="Times New Roman" w:cs="Times New Roman"/>
        </w:rPr>
        <w:t xml:space="preserve">cover the additional </w:t>
      </w:r>
      <w:r w:rsidR="00B01235" w:rsidRPr="00AF726C">
        <w:rPr>
          <w:rFonts w:ascii="Times New Roman" w:hAnsi="Times New Roman" w:cs="Times New Roman"/>
        </w:rPr>
        <w:t>cost</w:t>
      </w:r>
      <w:r w:rsidR="00B01235">
        <w:rPr>
          <w:rFonts w:ascii="Times New Roman" w:hAnsi="Times New Roman" w:cs="Times New Roman"/>
        </w:rPr>
        <w:t>s</w:t>
      </w:r>
      <w:r w:rsidR="00B01235" w:rsidRPr="00AF726C">
        <w:rPr>
          <w:rFonts w:ascii="Times New Roman" w:hAnsi="Times New Roman" w:cs="Times New Roman"/>
        </w:rPr>
        <w:t xml:space="preserve"> of housing and services</w:t>
      </w:r>
      <w:r w:rsidR="00B01235">
        <w:rPr>
          <w:rFonts w:ascii="Times New Roman" w:hAnsi="Times New Roman" w:cs="Times New Roman"/>
        </w:rPr>
        <w:t xml:space="preserve"> detailed in the</w:t>
      </w:r>
      <w:r w:rsidRPr="00AF726C">
        <w:rPr>
          <w:rFonts w:ascii="Times New Roman" w:hAnsi="Times New Roman" w:cs="Times New Roman"/>
        </w:rPr>
        <w:t xml:space="preserve"> </w:t>
      </w:r>
      <w:r w:rsidR="00B01235">
        <w:rPr>
          <w:rFonts w:ascii="Times New Roman" w:hAnsi="Times New Roman" w:cs="Times New Roman"/>
        </w:rPr>
        <w:t xml:space="preserve">CCRC-resident </w:t>
      </w:r>
      <w:r w:rsidR="00BC4117">
        <w:rPr>
          <w:rFonts w:ascii="Times New Roman" w:hAnsi="Times New Roman" w:cs="Times New Roman"/>
        </w:rPr>
        <w:t xml:space="preserve">agreement </w:t>
      </w:r>
      <w:r w:rsidRPr="00AF726C">
        <w:rPr>
          <w:rFonts w:ascii="Times New Roman" w:hAnsi="Times New Roman" w:cs="Times New Roman"/>
        </w:rPr>
        <w:t xml:space="preserve">not covered by the </w:t>
      </w:r>
      <w:r w:rsidR="002F2F68">
        <w:rPr>
          <w:rFonts w:ascii="Times New Roman" w:hAnsi="Times New Roman" w:cs="Times New Roman"/>
        </w:rPr>
        <w:t xml:space="preserve">20% </w:t>
      </w:r>
      <w:r w:rsidRPr="00AF726C">
        <w:rPr>
          <w:rFonts w:ascii="Times New Roman" w:hAnsi="Times New Roman" w:cs="Times New Roman"/>
        </w:rPr>
        <w:t>portion of the entry fee</w:t>
      </w:r>
      <w:r w:rsidR="002F2F68">
        <w:rPr>
          <w:rFonts w:ascii="Times New Roman" w:hAnsi="Times New Roman" w:cs="Times New Roman"/>
        </w:rPr>
        <w:t xml:space="preserve">.  That </w:t>
      </w:r>
      <w:r w:rsidR="00B01235">
        <w:rPr>
          <w:rFonts w:ascii="Times New Roman" w:hAnsi="Times New Roman" w:cs="Times New Roman"/>
        </w:rPr>
        <w:t xml:space="preserve">CCRC </w:t>
      </w:r>
      <w:r w:rsidR="002F2F68">
        <w:rPr>
          <w:rFonts w:ascii="Times New Roman" w:hAnsi="Times New Roman" w:cs="Times New Roman"/>
        </w:rPr>
        <w:t xml:space="preserve">obligation exists as a security investment </w:t>
      </w:r>
      <w:r w:rsidR="00B01235">
        <w:rPr>
          <w:rFonts w:ascii="Times New Roman" w:hAnsi="Times New Roman" w:cs="Times New Roman"/>
        </w:rPr>
        <w:t xml:space="preserve">held by the resident </w:t>
      </w:r>
      <w:proofErr w:type="gramStart"/>
      <w:r w:rsidR="002F2F68">
        <w:rPr>
          <w:rFonts w:ascii="Times New Roman" w:hAnsi="Times New Roman" w:cs="Times New Roman"/>
        </w:rPr>
        <w:t>as long as</w:t>
      </w:r>
      <w:proofErr w:type="gramEnd"/>
      <w:r w:rsidR="002F2F68">
        <w:rPr>
          <w:rFonts w:ascii="Times New Roman" w:hAnsi="Times New Roman" w:cs="Times New Roman"/>
        </w:rPr>
        <w:t xml:space="preserve"> the resident is at the CCRC campus.  </w:t>
      </w:r>
      <w:r w:rsidRPr="00AF726C">
        <w:rPr>
          <w:rFonts w:ascii="Times New Roman" w:hAnsi="Times New Roman" w:cs="Times New Roman"/>
        </w:rPr>
        <w:t>  </w:t>
      </w:r>
    </w:p>
    <w:p w14:paraId="248EC267" w14:textId="77777777" w:rsidR="00F50B7F" w:rsidRPr="00AF726C" w:rsidRDefault="00F50B7F" w:rsidP="006C585B">
      <w:pPr>
        <w:pStyle w:val="elementtoproof"/>
        <w:ind w:right="720"/>
        <w:jc w:val="both"/>
        <w:rPr>
          <w:rFonts w:ascii="Times New Roman" w:hAnsi="Times New Roman" w:cs="Times New Roman"/>
        </w:rPr>
      </w:pPr>
    </w:p>
    <w:p w14:paraId="0B953FB7" w14:textId="34FBA86D" w:rsidR="001D275C" w:rsidRPr="00F52373" w:rsidRDefault="001D275C" w:rsidP="006C585B">
      <w:pPr>
        <w:ind w:right="720"/>
        <w:jc w:val="both"/>
        <w:rPr>
          <w:rFonts w:ascii="Times New Roman" w:eastAsia="Times New Roman" w:hAnsi="Times New Roman" w:cs="Times New Roman"/>
        </w:rPr>
      </w:pPr>
      <w:r w:rsidRPr="00AF726C">
        <w:rPr>
          <w:rFonts w:ascii="Times New Roman" w:eastAsia="Times New Roman" w:hAnsi="Times New Roman" w:cs="Times New Roman"/>
        </w:rPr>
        <w:t xml:space="preserve">The varying types and entry fee </w:t>
      </w:r>
      <w:r w:rsidR="00F50B7F" w:rsidRPr="00AF726C">
        <w:rPr>
          <w:rFonts w:ascii="Times New Roman" w:eastAsia="Times New Roman" w:hAnsi="Times New Roman" w:cs="Times New Roman"/>
        </w:rPr>
        <w:t>amount</w:t>
      </w:r>
      <w:r w:rsidR="00F038DF">
        <w:rPr>
          <w:rFonts w:ascii="Times New Roman" w:eastAsia="Times New Roman" w:hAnsi="Times New Roman" w:cs="Times New Roman"/>
        </w:rPr>
        <w:t>s</w:t>
      </w:r>
      <w:r w:rsidRPr="00AF726C">
        <w:rPr>
          <w:rFonts w:ascii="Times New Roman" w:eastAsia="Times New Roman" w:hAnsi="Times New Roman" w:cs="Times New Roman"/>
        </w:rPr>
        <w:t xml:space="preserve"> </w:t>
      </w:r>
      <w:r w:rsidR="00F52373" w:rsidRPr="00AF726C">
        <w:rPr>
          <w:rFonts w:ascii="Times New Roman" w:eastAsia="Times New Roman" w:hAnsi="Times New Roman" w:cs="Times New Roman"/>
        </w:rPr>
        <w:t>allow</w:t>
      </w:r>
      <w:r w:rsidRPr="00AF726C">
        <w:rPr>
          <w:rFonts w:ascii="Times New Roman" w:eastAsia="Times New Roman" w:hAnsi="Times New Roman" w:cs="Times New Roman"/>
        </w:rPr>
        <w:t xml:space="preserve"> </w:t>
      </w:r>
      <w:r w:rsidR="00F50B7F" w:rsidRPr="00AF726C">
        <w:rPr>
          <w:rFonts w:ascii="Times New Roman" w:eastAsia="Times New Roman" w:hAnsi="Times New Roman" w:cs="Times New Roman"/>
        </w:rPr>
        <w:t>individuals</w:t>
      </w:r>
      <w:r w:rsidRPr="00AF726C">
        <w:rPr>
          <w:rFonts w:ascii="Times New Roman" w:eastAsia="Times New Roman" w:hAnsi="Times New Roman" w:cs="Times New Roman"/>
        </w:rPr>
        <w:t xml:space="preserve"> across the income </w:t>
      </w:r>
      <w:r w:rsidR="002F2F68">
        <w:rPr>
          <w:rFonts w:ascii="Times New Roman" w:eastAsia="Times New Roman" w:hAnsi="Times New Roman" w:cs="Times New Roman"/>
        </w:rPr>
        <w:t xml:space="preserve">spectrum </w:t>
      </w:r>
      <w:r w:rsidRPr="00AF726C">
        <w:rPr>
          <w:rFonts w:ascii="Times New Roman" w:eastAsia="Times New Roman" w:hAnsi="Times New Roman" w:cs="Times New Roman"/>
        </w:rPr>
        <w:t xml:space="preserve">to secure a </w:t>
      </w:r>
      <w:r w:rsidR="002F2F68">
        <w:rPr>
          <w:rFonts w:ascii="Times New Roman" w:eastAsia="Times New Roman" w:hAnsi="Times New Roman" w:cs="Times New Roman"/>
        </w:rPr>
        <w:t xml:space="preserve">housing and </w:t>
      </w:r>
      <w:r w:rsidR="002F2F68" w:rsidRPr="00AF726C">
        <w:rPr>
          <w:rFonts w:ascii="Times New Roman" w:eastAsia="Times New Roman" w:hAnsi="Times New Roman" w:cs="Times New Roman"/>
        </w:rPr>
        <w:t>health</w:t>
      </w:r>
      <w:r w:rsidRPr="00AF726C">
        <w:rPr>
          <w:rFonts w:ascii="Times New Roman" w:eastAsia="Times New Roman" w:hAnsi="Times New Roman" w:cs="Times New Roman"/>
        </w:rPr>
        <w:t xml:space="preserve"> care fu</w:t>
      </w:r>
      <w:r w:rsidR="002F2F68">
        <w:rPr>
          <w:rFonts w:ascii="Times New Roman" w:eastAsia="Times New Roman" w:hAnsi="Times New Roman" w:cs="Times New Roman"/>
        </w:rPr>
        <w:t xml:space="preserve">ture </w:t>
      </w:r>
      <w:r w:rsidRPr="00AF726C">
        <w:rPr>
          <w:rFonts w:ascii="Times New Roman" w:eastAsia="Times New Roman" w:hAnsi="Times New Roman" w:cs="Times New Roman"/>
        </w:rPr>
        <w:t xml:space="preserve">in a manner of their </w:t>
      </w:r>
      <w:r w:rsidR="002F2F68" w:rsidRPr="00AF726C">
        <w:rPr>
          <w:rFonts w:ascii="Times New Roman" w:eastAsia="Times New Roman" w:hAnsi="Times New Roman" w:cs="Times New Roman"/>
        </w:rPr>
        <w:t>choosing</w:t>
      </w:r>
      <w:r w:rsidRPr="00AF726C">
        <w:rPr>
          <w:rFonts w:ascii="Times New Roman" w:eastAsia="Times New Roman" w:hAnsi="Times New Roman" w:cs="Times New Roman"/>
        </w:rPr>
        <w:t xml:space="preserve"> and when they choose to do so.  </w:t>
      </w:r>
      <w:r w:rsidRPr="00F52373">
        <w:rPr>
          <w:rFonts w:ascii="Times New Roman" w:eastAsia="Times New Roman" w:hAnsi="Times New Roman" w:cs="Times New Roman"/>
        </w:rPr>
        <w:t>That is, most CCRC res</w:t>
      </w:r>
      <w:r w:rsidR="00F50B7F" w:rsidRPr="00F52373">
        <w:rPr>
          <w:rFonts w:ascii="Times New Roman" w:eastAsia="Times New Roman" w:hAnsi="Times New Roman" w:cs="Times New Roman"/>
        </w:rPr>
        <w:t>idents</w:t>
      </w:r>
      <w:r w:rsidRPr="00F52373">
        <w:rPr>
          <w:rFonts w:ascii="Times New Roman" w:eastAsia="Times New Roman" w:hAnsi="Times New Roman" w:cs="Times New Roman"/>
        </w:rPr>
        <w:t xml:space="preserve">, </w:t>
      </w:r>
      <w:r w:rsidR="00F50B7F" w:rsidRPr="00F52373">
        <w:rPr>
          <w:rFonts w:ascii="Times New Roman" w:eastAsia="Times New Roman" w:hAnsi="Times New Roman" w:cs="Times New Roman"/>
        </w:rPr>
        <w:t>regardless</w:t>
      </w:r>
      <w:r w:rsidRPr="00F52373">
        <w:rPr>
          <w:rFonts w:ascii="Times New Roman" w:eastAsia="Times New Roman" w:hAnsi="Times New Roman" w:cs="Times New Roman"/>
        </w:rPr>
        <w:t xml:space="preserve"> of </w:t>
      </w:r>
      <w:r w:rsidR="00F50B7F" w:rsidRPr="00F52373">
        <w:rPr>
          <w:rFonts w:ascii="Times New Roman" w:eastAsia="Times New Roman" w:hAnsi="Times New Roman" w:cs="Times New Roman"/>
        </w:rPr>
        <w:t>campus</w:t>
      </w:r>
      <w:r w:rsidRPr="00F52373">
        <w:rPr>
          <w:rFonts w:ascii="Times New Roman" w:eastAsia="Times New Roman" w:hAnsi="Times New Roman" w:cs="Times New Roman"/>
        </w:rPr>
        <w:t xml:space="preserve">, are retired nurses, farmers, </w:t>
      </w:r>
      <w:r w:rsidR="00F17B18">
        <w:rPr>
          <w:rFonts w:ascii="Times New Roman" w:eastAsia="Times New Roman" w:hAnsi="Times New Roman" w:cs="Times New Roman"/>
        </w:rPr>
        <w:t>factory</w:t>
      </w:r>
      <w:r w:rsidR="00F52373">
        <w:rPr>
          <w:rFonts w:ascii="Times New Roman" w:eastAsia="Times New Roman" w:hAnsi="Times New Roman" w:cs="Times New Roman"/>
        </w:rPr>
        <w:t xml:space="preserve"> workers, </w:t>
      </w:r>
      <w:proofErr w:type="gramStart"/>
      <w:r w:rsidR="00DF3DF6" w:rsidRPr="00F52373">
        <w:rPr>
          <w:rFonts w:ascii="Times New Roman" w:eastAsia="Times New Roman" w:hAnsi="Times New Roman" w:cs="Times New Roman"/>
        </w:rPr>
        <w:t>school</w:t>
      </w:r>
      <w:r w:rsidR="00DF3DF6">
        <w:rPr>
          <w:rFonts w:ascii="Times New Roman" w:eastAsia="Times New Roman" w:hAnsi="Times New Roman" w:cs="Times New Roman"/>
        </w:rPr>
        <w:t>-</w:t>
      </w:r>
      <w:r w:rsidR="00DF3DF6" w:rsidRPr="00F52373">
        <w:rPr>
          <w:rFonts w:ascii="Times New Roman" w:eastAsia="Times New Roman" w:hAnsi="Times New Roman" w:cs="Times New Roman"/>
        </w:rPr>
        <w:t>teachers</w:t>
      </w:r>
      <w:proofErr w:type="gramEnd"/>
      <w:r w:rsidRPr="00F52373">
        <w:rPr>
          <w:rFonts w:ascii="Times New Roman" w:eastAsia="Times New Roman" w:hAnsi="Times New Roman" w:cs="Times New Roman"/>
        </w:rPr>
        <w:t xml:space="preserve">, </w:t>
      </w:r>
      <w:r w:rsidR="00F52373" w:rsidRPr="00F52373">
        <w:rPr>
          <w:rFonts w:ascii="Times New Roman" w:eastAsia="Times New Roman" w:hAnsi="Times New Roman" w:cs="Times New Roman"/>
        </w:rPr>
        <w:t>insurance</w:t>
      </w:r>
      <w:r w:rsidRPr="00F52373">
        <w:rPr>
          <w:rFonts w:ascii="Times New Roman" w:eastAsia="Times New Roman" w:hAnsi="Times New Roman" w:cs="Times New Roman"/>
        </w:rPr>
        <w:t xml:space="preserve"> </w:t>
      </w:r>
      <w:r w:rsidR="00F52373">
        <w:rPr>
          <w:rFonts w:ascii="Times New Roman" w:eastAsia="Times New Roman" w:hAnsi="Times New Roman" w:cs="Times New Roman"/>
        </w:rPr>
        <w:t xml:space="preserve">agents, </w:t>
      </w:r>
      <w:r w:rsidR="00F50B7F" w:rsidRPr="00F52373">
        <w:rPr>
          <w:rFonts w:ascii="Times New Roman" w:eastAsia="Times New Roman" w:hAnsi="Times New Roman" w:cs="Times New Roman"/>
        </w:rPr>
        <w:t xml:space="preserve">pastors, </w:t>
      </w:r>
      <w:r w:rsidR="00F52373" w:rsidRPr="00F52373">
        <w:rPr>
          <w:rFonts w:ascii="Times New Roman" w:eastAsia="Times New Roman" w:hAnsi="Times New Roman" w:cs="Times New Roman"/>
        </w:rPr>
        <w:t>missionaries</w:t>
      </w:r>
      <w:r w:rsidR="00F52373">
        <w:rPr>
          <w:rFonts w:ascii="Times New Roman" w:eastAsia="Times New Roman" w:hAnsi="Times New Roman" w:cs="Times New Roman"/>
        </w:rPr>
        <w:t xml:space="preserve"> from around the U.S.</w:t>
      </w:r>
      <w:r w:rsidR="00F04BDF" w:rsidRPr="00F52373">
        <w:rPr>
          <w:rFonts w:ascii="Times New Roman" w:eastAsia="Times New Roman" w:hAnsi="Times New Roman" w:cs="Times New Roman"/>
        </w:rPr>
        <w:t xml:space="preserve">, </w:t>
      </w:r>
      <w:r w:rsidR="00F50B7F" w:rsidRPr="00F52373">
        <w:rPr>
          <w:rFonts w:ascii="Times New Roman" w:eastAsia="Times New Roman" w:hAnsi="Times New Roman" w:cs="Times New Roman"/>
        </w:rPr>
        <w:t>and im</w:t>
      </w:r>
      <w:r w:rsidR="00F52373">
        <w:rPr>
          <w:rFonts w:ascii="Times New Roman" w:eastAsia="Times New Roman" w:hAnsi="Times New Roman" w:cs="Times New Roman"/>
        </w:rPr>
        <w:t xml:space="preserve">portantly </w:t>
      </w:r>
      <w:r w:rsidR="00F50B7F" w:rsidRPr="00F52373">
        <w:rPr>
          <w:rFonts w:ascii="Times New Roman" w:eastAsia="Times New Roman" w:hAnsi="Times New Roman" w:cs="Times New Roman"/>
        </w:rPr>
        <w:t xml:space="preserve">– </w:t>
      </w:r>
      <w:r w:rsidR="00F52373" w:rsidRPr="00F52373">
        <w:rPr>
          <w:rFonts w:ascii="Times New Roman" w:eastAsia="Times New Roman" w:hAnsi="Times New Roman" w:cs="Times New Roman"/>
        </w:rPr>
        <w:t>veterans</w:t>
      </w:r>
      <w:r w:rsidR="00F50B7F" w:rsidRPr="00F52373">
        <w:rPr>
          <w:rFonts w:ascii="Times New Roman" w:eastAsia="Times New Roman" w:hAnsi="Times New Roman" w:cs="Times New Roman"/>
        </w:rPr>
        <w:t xml:space="preserve">.  Despite the perception </w:t>
      </w:r>
      <w:r w:rsidR="00F038DF">
        <w:rPr>
          <w:rFonts w:ascii="Times New Roman" w:eastAsia="Times New Roman" w:hAnsi="Times New Roman" w:cs="Times New Roman"/>
        </w:rPr>
        <w:t xml:space="preserve">argued </w:t>
      </w:r>
      <w:r w:rsidR="00F50B7F" w:rsidRPr="00F52373">
        <w:rPr>
          <w:rFonts w:ascii="Times New Roman" w:eastAsia="Times New Roman" w:hAnsi="Times New Roman" w:cs="Times New Roman"/>
        </w:rPr>
        <w:t xml:space="preserve">by some, CCRC </w:t>
      </w:r>
      <w:r w:rsidR="00F52373" w:rsidRPr="00F52373">
        <w:rPr>
          <w:rFonts w:ascii="Times New Roman" w:eastAsia="Times New Roman" w:hAnsi="Times New Roman" w:cs="Times New Roman"/>
        </w:rPr>
        <w:t>residents</w:t>
      </w:r>
      <w:r w:rsidR="00F50B7F" w:rsidRPr="00F52373">
        <w:rPr>
          <w:rFonts w:ascii="Times New Roman" w:eastAsia="Times New Roman" w:hAnsi="Times New Roman" w:cs="Times New Roman"/>
        </w:rPr>
        <w:t xml:space="preserve"> are not all </w:t>
      </w:r>
      <w:r w:rsidR="00F52373">
        <w:rPr>
          <w:rFonts w:ascii="Times New Roman" w:eastAsia="Times New Roman" w:hAnsi="Times New Roman" w:cs="Times New Roman"/>
        </w:rPr>
        <w:t xml:space="preserve">high-wealth individuals.  They are normal Hoosiers who have </w:t>
      </w:r>
      <w:r w:rsidR="00F17B18">
        <w:rPr>
          <w:rFonts w:ascii="Times New Roman" w:eastAsia="Times New Roman" w:hAnsi="Times New Roman" w:cs="Times New Roman"/>
        </w:rPr>
        <w:t>prioritized</w:t>
      </w:r>
      <w:r w:rsidR="00F52373">
        <w:rPr>
          <w:rFonts w:ascii="Times New Roman" w:eastAsia="Times New Roman" w:hAnsi="Times New Roman" w:cs="Times New Roman"/>
        </w:rPr>
        <w:t xml:space="preserve"> a security investment in their </w:t>
      </w:r>
      <w:r w:rsidR="00F17B18">
        <w:rPr>
          <w:rFonts w:ascii="Times New Roman" w:eastAsia="Times New Roman" w:hAnsi="Times New Roman" w:cs="Times New Roman"/>
        </w:rPr>
        <w:t>future</w:t>
      </w:r>
      <w:r w:rsidR="00F52373">
        <w:rPr>
          <w:rFonts w:ascii="Times New Roman" w:eastAsia="Times New Roman" w:hAnsi="Times New Roman" w:cs="Times New Roman"/>
        </w:rPr>
        <w:t xml:space="preserve"> health and well-</w:t>
      </w:r>
      <w:r w:rsidR="00F17B18">
        <w:rPr>
          <w:rFonts w:ascii="Times New Roman" w:eastAsia="Times New Roman" w:hAnsi="Times New Roman" w:cs="Times New Roman"/>
        </w:rPr>
        <w:t>being</w:t>
      </w:r>
      <w:r w:rsidR="00F52373">
        <w:rPr>
          <w:rFonts w:ascii="Times New Roman" w:eastAsia="Times New Roman" w:hAnsi="Times New Roman" w:cs="Times New Roman"/>
        </w:rPr>
        <w:t xml:space="preserve">.  </w:t>
      </w:r>
      <w:r w:rsidR="00F50B7F" w:rsidRPr="00F52373">
        <w:rPr>
          <w:rFonts w:ascii="Times New Roman" w:eastAsia="Times New Roman" w:hAnsi="Times New Roman" w:cs="Times New Roman"/>
        </w:rPr>
        <w:t xml:space="preserve"> </w:t>
      </w:r>
    </w:p>
    <w:p w14:paraId="701AE3FE" w14:textId="12930A33" w:rsidR="00F50B7F" w:rsidRPr="001B4831" w:rsidRDefault="004A4843" w:rsidP="006C585B">
      <w:pPr>
        <w:ind w:right="72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As generally required by </w:t>
      </w:r>
      <w:r w:rsidR="00D00673">
        <w:rPr>
          <w:rFonts w:ascii="Times New Roman" w:eastAsia="Times New Roman" w:hAnsi="Times New Roman" w:cs="Times New Roman"/>
          <w:u w:val="single"/>
        </w:rPr>
        <w:t xml:space="preserve">Ind. Code 23-2-4-12, </w:t>
      </w:r>
      <w:r w:rsidRPr="001B4831">
        <w:rPr>
          <w:rFonts w:ascii="Times New Roman" w:eastAsia="Times New Roman" w:hAnsi="Times New Roman" w:cs="Times New Roman"/>
          <w:u w:val="single"/>
        </w:rPr>
        <w:t xml:space="preserve">Entry </w:t>
      </w:r>
      <w:r>
        <w:rPr>
          <w:rFonts w:ascii="Times New Roman" w:eastAsia="Times New Roman" w:hAnsi="Times New Roman" w:cs="Times New Roman"/>
          <w:u w:val="single"/>
        </w:rPr>
        <w:t>F</w:t>
      </w:r>
      <w:r w:rsidRPr="001B4831">
        <w:rPr>
          <w:rFonts w:ascii="Times New Roman" w:eastAsia="Times New Roman" w:hAnsi="Times New Roman" w:cs="Times New Roman"/>
          <w:u w:val="single"/>
        </w:rPr>
        <w:t>ees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0A32C9">
        <w:rPr>
          <w:rFonts w:ascii="Times New Roman" w:eastAsia="Times New Roman" w:hAnsi="Times New Roman" w:cs="Times New Roman"/>
          <w:u w:val="single"/>
        </w:rPr>
        <w:t xml:space="preserve">(and the connected tax exemptions) </w:t>
      </w:r>
      <w:r w:rsidR="00F50B7F" w:rsidRPr="001B4831">
        <w:rPr>
          <w:rFonts w:ascii="Times New Roman" w:eastAsia="Times New Roman" w:hAnsi="Times New Roman" w:cs="Times New Roman"/>
          <w:u w:val="single"/>
        </w:rPr>
        <w:t xml:space="preserve">are used for: </w:t>
      </w:r>
    </w:p>
    <w:p w14:paraId="7088F40F" w14:textId="0B406759" w:rsidR="00F17B18" w:rsidRPr="001B4831" w:rsidRDefault="00E25596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F50B7F" w:rsidRPr="001B4831">
        <w:rPr>
          <w:rFonts w:ascii="Times New Roman" w:hAnsi="Times New Roman" w:cs="Times New Roman"/>
          <w:sz w:val="23"/>
          <w:szCs w:val="23"/>
        </w:rPr>
        <w:t xml:space="preserve">hysical plant maintenance and upgrades (boiler </w:t>
      </w:r>
      <w:r>
        <w:rPr>
          <w:rFonts w:ascii="Times New Roman" w:hAnsi="Times New Roman" w:cs="Times New Roman"/>
          <w:sz w:val="23"/>
          <w:szCs w:val="23"/>
        </w:rPr>
        <w:t xml:space="preserve">repairs, </w:t>
      </w:r>
      <w:r w:rsidR="00F50B7F" w:rsidRPr="001B4831">
        <w:rPr>
          <w:rFonts w:ascii="Times New Roman" w:hAnsi="Times New Roman" w:cs="Times New Roman"/>
          <w:sz w:val="23"/>
          <w:szCs w:val="23"/>
        </w:rPr>
        <w:t>new HVAC units</w:t>
      </w:r>
      <w:r>
        <w:rPr>
          <w:rFonts w:ascii="Times New Roman" w:hAnsi="Times New Roman" w:cs="Times New Roman"/>
          <w:sz w:val="23"/>
          <w:szCs w:val="23"/>
        </w:rPr>
        <w:t xml:space="preserve">, fresh carpet and paint, etc.); </w:t>
      </w:r>
    </w:p>
    <w:p w14:paraId="353420BF" w14:textId="3B385692" w:rsidR="00F17B18" w:rsidRPr="001B4831" w:rsidRDefault="00E25596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R</w:t>
      </w:r>
      <w:r w:rsidRPr="001B4831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configuration of and </w:t>
      </w:r>
      <w:r w:rsidR="00F50B7F" w:rsidRPr="001B4831">
        <w:rPr>
          <w:rFonts w:ascii="Times New Roman" w:hAnsi="Times New Roman" w:cs="Times New Roman"/>
          <w:sz w:val="23"/>
          <w:szCs w:val="23"/>
        </w:rPr>
        <w:t>upgrades to resident</w:t>
      </w:r>
      <w:r w:rsidR="00BC4117">
        <w:rPr>
          <w:rFonts w:ascii="Times New Roman" w:hAnsi="Times New Roman" w:cs="Times New Roman"/>
          <w:sz w:val="23"/>
          <w:szCs w:val="23"/>
        </w:rPr>
        <w:t>ial</w:t>
      </w:r>
      <w:r w:rsidR="00F50B7F" w:rsidRPr="001B4831">
        <w:rPr>
          <w:rFonts w:ascii="Times New Roman" w:hAnsi="Times New Roman" w:cs="Times New Roman"/>
          <w:sz w:val="23"/>
          <w:szCs w:val="23"/>
        </w:rPr>
        <w:t xml:space="preserve"> units (CCRCs are constantly evaluating the unit mix of independent living, assisted living, memory care, and skilled nursing units </w:t>
      </w:r>
      <w:r>
        <w:rPr>
          <w:rFonts w:ascii="Times New Roman" w:hAnsi="Times New Roman" w:cs="Times New Roman"/>
          <w:sz w:val="23"/>
          <w:szCs w:val="23"/>
        </w:rPr>
        <w:t>due to changing resident needs);</w:t>
      </w:r>
    </w:p>
    <w:p w14:paraId="40289495" w14:textId="5905EF6A" w:rsidR="00F17B18" w:rsidRPr="001B4831" w:rsidRDefault="0049175A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Upkeep of </w:t>
      </w:r>
      <w:r w:rsidR="00E25596">
        <w:rPr>
          <w:rFonts w:ascii="Times New Roman" w:hAnsi="Times New Roman" w:cs="Times New Roman"/>
          <w:sz w:val="23"/>
          <w:szCs w:val="23"/>
        </w:rPr>
        <w:t xml:space="preserve">campus </w:t>
      </w:r>
      <w:r w:rsidR="00F50B7F" w:rsidRPr="001B4831">
        <w:rPr>
          <w:rFonts w:ascii="Times New Roman" w:hAnsi="Times New Roman" w:cs="Times New Roman"/>
          <w:sz w:val="23"/>
          <w:szCs w:val="23"/>
        </w:rPr>
        <w:t>roads and sidewalks (</w:t>
      </w:r>
      <w:r w:rsidR="00E25596">
        <w:rPr>
          <w:rFonts w:ascii="Times New Roman" w:hAnsi="Times New Roman" w:cs="Times New Roman"/>
          <w:sz w:val="23"/>
          <w:szCs w:val="23"/>
        </w:rPr>
        <w:t xml:space="preserve">many maintain their own spaces saving local county tax dollars); </w:t>
      </w:r>
    </w:p>
    <w:p w14:paraId="49846424" w14:textId="03A84AF7" w:rsidR="00D00673" w:rsidRPr="00D00673" w:rsidRDefault="00D00673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Investments in new rehabilitation and resident care equipment;  </w:t>
      </w:r>
    </w:p>
    <w:p w14:paraId="70742C83" w14:textId="3C37F37A" w:rsidR="00F17B18" w:rsidRPr="001B4831" w:rsidRDefault="0049175A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N</w:t>
      </w:r>
      <w:r w:rsidR="00F50B7F" w:rsidRPr="001B4831">
        <w:rPr>
          <w:rFonts w:ascii="Times New Roman" w:hAnsi="Times New Roman" w:cs="Times New Roman"/>
          <w:sz w:val="23"/>
          <w:szCs w:val="23"/>
        </w:rPr>
        <w:t xml:space="preserve">ew and upgraded amenities (community </w:t>
      </w:r>
      <w:r>
        <w:rPr>
          <w:rFonts w:ascii="Times New Roman" w:hAnsi="Times New Roman" w:cs="Times New Roman"/>
          <w:sz w:val="23"/>
          <w:szCs w:val="23"/>
        </w:rPr>
        <w:t xml:space="preserve">gathering </w:t>
      </w:r>
      <w:r w:rsidR="00F50B7F" w:rsidRPr="001B4831">
        <w:rPr>
          <w:rFonts w:ascii="Times New Roman" w:hAnsi="Times New Roman" w:cs="Times New Roman"/>
          <w:sz w:val="23"/>
          <w:szCs w:val="23"/>
        </w:rPr>
        <w:t xml:space="preserve">spaces, </w:t>
      </w:r>
      <w:r>
        <w:rPr>
          <w:rFonts w:ascii="Times New Roman" w:hAnsi="Times New Roman" w:cs="Times New Roman"/>
          <w:sz w:val="23"/>
          <w:szCs w:val="23"/>
        </w:rPr>
        <w:t xml:space="preserve">wellness, rehab, and senior </w:t>
      </w:r>
      <w:r w:rsidR="00F50B7F" w:rsidRPr="001B4831">
        <w:rPr>
          <w:rFonts w:ascii="Times New Roman" w:hAnsi="Times New Roman" w:cs="Times New Roman"/>
          <w:sz w:val="23"/>
          <w:szCs w:val="23"/>
        </w:rPr>
        <w:t xml:space="preserve">fitness centers); </w:t>
      </w:r>
    </w:p>
    <w:p w14:paraId="1D39B990" w14:textId="7AB5B473" w:rsidR="00E02D5D" w:rsidRPr="00E25596" w:rsidRDefault="0049175A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Pr="001B4831">
        <w:rPr>
          <w:rFonts w:ascii="Times New Roman" w:hAnsi="Times New Roman" w:cs="Times New Roman"/>
        </w:rPr>
        <w:t>roperty</w:t>
      </w:r>
      <w:r w:rsidR="00F50B7F" w:rsidRPr="001B4831">
        <w:rPr>
          <w:rFonts w:ascii="Times New Roman" w:hAnsi="Times New Roman" w:cs="Times New Roman"/>
        </w:rPr>
        <w:t xml:space="preserve"> insurance, employment insurance, employee payroll and taxes, food, supplies</w:t>
      </w:r>
      <w:r>
        <w:rPr>
          <w:rFonts w:ascii="Times New Roman" w:hAnsi="Times New Roman" w:cs="Times New Roman"/>
        </w:rPr>
        <w:t>, etc. (all the things that are r</w:t>
      </w:r>
      <w:r w:rsidR="00F50B7F" w:rsidRPr="001B4831">
        <w:rPr>
          <w:rFonts w:ascii="Times New Roman" w:hAnsi="Times New Roman" w:cs="Times New Roman"/>
        </w:rPr>
        <w:t xml:space="preserve">equired for </w:t>
      </w:r>
      <w:r>
        <w:rPr>
          <w:rFonts w:ascii="Times New Roman" w:hAnsi="Times New Roman" w:cs="Times New Roman"/>
        </w:rPr>
        <w:t xml:space="preserve">a CCRC to operate and </w:t>
      </w:r>
      <w:r w:rsidR="00F50B7F" w:rsidRPr="001B4831">
        <w:rPr>
          <w:rFonts w:ascii="Times New Roman" w:hAnsi="Times New Roman" w:cs="Times New Roman"/>
        </w:rPr>
        <w:t>meet the agreed upon housing and services in the residency agreement</w:t>
      </w:r>
      <w:r>
        <w:rPr>
          <w:rFonts w:ascii="Times New Roman" w:hAnsi="Times New Roman" w:cs="Times New Roman"/>
        </w:rPr>
        <w:t xml:space="preserve">); </w:t>
      </w:r>
      <w:r w:rsidR="00F50B7F" w:rsidRPr="001B4831">
        <w:rPr>
          <w:rFonts w:ascii="Times New Roman" w:hAnsi="Times New Roman" w:cs="Times New Roman"/>
        </w:rPr>
        <w:t>  </w:t>
      </w:r>
    </w:p>
    <w:p w14:paraId="034D5AB0" w14:textId="525D7FD6" w:rsidR="00E25596" w:rsidRPr="0049175A" w:rsidRDefault="00E25596" w:rsidP="006C585B">
      <w:pPr>
        <w:pStyle w:val="ListParagraph"/>
        <w:numPr>
          <w:ilvl w:val="0"/>
          <w:numId w:val="16"/>
        </w:numPr>
        <w:adjustRightInd w:val="0"/>
        <w:ind w:left="0" w:right="720" w:firstLine="0"/>
        <w:jc w:val="both"/>
        <w:rPr>
          <w:rFonts w:ascii="Times New Roman" w:eastAsia="Times New Roman" w:hAnsi="Times New Roman" w:cs="Times New Roman"/>
        </w:rPr>
      </w:pPr>
      <w:r w:rsidRPr="00D00673">
        <w:rPr>
          <w:rFonts w:ascii="Times New Roman" w:hAnsi="Times New Roman" w:cs="Times New Roman"/>
          <w:u w:val="single"/>
        </w:rPr>
        <w:t xml:space="preserve">Entry fees are not used to </w:t>
      </w:r>
      <w:r w:rsidRPr="00D00673">
        <w:rPr>
          <w:rFonts w:ascii="Times New Roman" w:eastAsia="Times New Roman" w:hAnsi="Times New Roman" w:cs="Times New Roman"/>
          <w:u w:val="single"/>
        </w:rPr>
        <w:t>pay investors</w:t>
      </w:r>
      <w:r w:rsidR="0049175A" w:rsidRPr="00D00673">
        <w:rPr>
          <w:rFonts w:ascii="Times New Roman" w:eastAsia="Times New Roman" w:hAnsi="Times New Roman" w:cs="Times New Roman"/>
          <w:u w:val="single"/>
        </w:rPr>
        <w:t xml:space="preserve"> or owners</w:t>
      </w:r>
      <w:r w:rsidR="0049175A" w:rsidRPr="0049175A">
        <w:rPr>
          <w:rFonts w:ascii="Times New Roman" w:eastAsia="Times New Roman" w:hAnsi="Times New Roman" w:cs="Times New Roman"/>
        </w:rPr>
        <w:t xml:space="preserve">.  </w:t>
      </w:r>
    </w:p>
    <w:p w14:paraId="7440B5BC" w14:textId="77777777" w:rsidR="001D275C" w:rsidRPr="001B4831" w:rsidRDefault="001D275C" w:rsidP="006C585B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eastAsia="Times New Roman" w:hAnsi="Times New Roman" w:cs="Times New Roman"/>
        </w:rPr>
      </w:pPr>
    </w:p>
    <w:p w14:paraId="1C62A55C" w14:textId="77777777" w:rsidR="006C585B" w:rsidRDefault="006C585B" w:rsidP="006C585B">
      <w:pPr>
        <w:ind w:right="720"/>
        <w:jc w:val="both"/>
        <w:rPr>
          <w:rFonts w:ascii="Times New Roman" w:eastAsia="Times New Roman" w:hAnsi="Times New Roman" w:cs="Times New Roman"/>
          <w:u w:val="single"/>
        </w:rPr>
      </w:pPr>
    </w:p>
    <w:p w14:paraId="5E8164FE" w14:textId="5F60B73E" w:rsidR="00F50B7F" w:rsidRPr="001B4831" w:rsidRDefault="00AC344A" w:rsidP="006C585B">
      <w:pPr>
        <w:ind w:right="720"/>
        <w:jc w:val="both"/>
        <w:rPr>
          <w:rFonts w:ascii="Times New Roman" w:eastAsia="Times New Roman" w:hAnsi="Times New Roman" w:cs="Times New Roman"/>
          <w:u w:val="single"/>
        </w:rPr>
      </w:pPr>
      <w:r w:rsidRPr="001B4831">
        <w:rPr>
          <w:rFonts w:ascii="Times New Roman" w:eastAsia="Times New Roman" w:hAnsi="Times New Roman" w:cs="Times New Roman"/>
          <w:u w:val="single"/>
        </w:rPr>
        <w:lastRenderedPageBreak/>
        <w:t>Examples of c</w:t>
      </w:r>
      <w:r w:rsidR="00F50B7F" w:rsidRPr="001B4831">
        <w:rPr>
          <w:rFonts w:ascii="Times New Roman" w:eastAsia="Times New Roman" w:hAnsi="Times New Roman" w:cs="Times New Roman"/>
          <w:u w:val="single"/>
        </w:rPr>
        <w:t xml:space="preserve">haritable purpose </w:t>
      </w:r>
      <w:r w:rsidRPr="001B4831">
        <w:rPr>
          <w:rFonts w:ascii="Times New Roman" w:eastAsia="Times New Roman" w:hAnsi="Times New Roman" w:cs="Times New Roman"/>
          <w:u w:val="single"/>
        </w:rPr>
        <w:t>activities of a typical NFP C</w:t>
      </w:r>
      <w:r w:rsidR="00F50B7F" w:rsidRPr="001B4831">
        <w:rPr>
          <w:rFonts w:ascii="Times New Roman" w:eastAsia="Times New Roman" w:hAnsi="Times New Roman" w:cs="Times New Roman"/>
          <w:u w:val="single"/>
        </w:rPr>
        <w:t xml:space="preserve">CRC: </w:t>
      </w:r>
    </w:p>
    <w:p w14:paraId="5C258BE1" w14:textId="77777777" w:rsidR="00CB040D" w:rsidRPr="006C585B" w:rsidRDefault="00CB040D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 xml:space="preserve">Providing regular faith services to residents (and oftentimes to the broader community where the CCRC is located) either through dedicated campus chapels or through an engaged chaplain, or both;  </w:t>
      </w:r>
    </w:p>
    <w:p w14:paraId="4F9D2F1F" w14:textId="7650476B" w:rsidR="00CB040D" w:rsidRPr="006C585B" w:rsidRDefault="00CB040D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 xml:space="preserve">Benevolent care / inability to pay policies that provide care to residents if they are unable to pay what is agreed upon in the residency agreement.  These policies provide low or no-cost (i.e. charitable) housing and </w:t>
      </w:r>
      <w:r w:rsidR="00F038DF" w:rsidRPr="006C585B">
        <w:rPr>
          <w:rFonts w:ascii="Times New Roman" w:hAnsi="Times New Roman" w:cs="Times New Roman"/>
          <w:sz w:val="23"/>
          <w:szCs w:val="23"/>
        </w:rPr>
        <w:t xml:space="preserve">health </w:t>
      </w:r>
      <w:r w:rsidRPr="006C585B">
        <w:rPr>
          <w:rFonts w:ascii="Times New Roman" w:hAnsi="Times New Roman" w:cs="Times New Roman"/>
          <w:sz w:val="23"/>
          <w:szCs w:val="23"/>
        </w:rPr>
        <w:t>care when an individual finds themselves unable to pay the costs agreed upon in their residency agreement.  These programs, which are very regularly deployed by CCRCs, are triggered by a resident outliving resources or by an extraordinary life-event like a healthcare crisis that prematurely exhausts available funds;</w:t>
      </w:r>
    </w:p>
    <w:p w14:paraId="0E412F80" w14:textId="464B3E2D" w:rsidR="00F17B18" w:rsidRPr="006C585B" w:rsidRDefault="00F17B18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>C</w:t>
      </w:r>
      <w:r w:rsidR="002E34E4" w:rsidRPr="006C585B">
        <w:rPr>
          <w:rFonts w:ascii="Times New Roman" w:hAnsi="Times New Roman" w:cs="Times New Roman"/>
          <w:sz w:val="23"/>
          <w:szCs w:val="23"/>
        </w:rPr>
        <w:t>ommunity food drives</w:t>
      </w:r>
      <w:r w:rsidRPr="006C585B">
        <w:rPr>
          <w:rFonts w:ascii="Times New Roman" w:hAnsi="Times New Roman" w:cs="Times New Roman"/>
          <w:sz w:val="23"/>
          <w:szCs w:val="23"/>
        </w:rPr>
        <w:t xml:space="preserve"> </w:t>
      </w:r>
      <w:r w:rsidR="001B4831" w:rsidRPr="006C585B">
        <w:rPr>
          <w:rFonts w:ascii="Times New Roman" w:hAnsi="Times New Roman" w:cs="Times New Roman"/>
          <w:sz w:val="23"/>
          <w:szCs w:val="23"/>
        </w:rPr>
        <w:t>for</w:t>
      </w:r>
      <w:r w:rsidRPr="006C585B">
        <w:rPr>
          <w:rFonts w:ascii="Times New Roman" w:hAnsi="Times New Roman" w:cs="Times New Roman"/>
          <w:sz w:val="23"/>
          <w:szCs w:val="23"/>
        </w:rPr>
        <w:t xml:space="preserve"> senior</w:t>
      </w:r>
      <w:r w:rsidR="001B4831" w:rsidRPr="006C585B">
        <w:rPr>
          <w:rFonts w:ascii="Times New Roman" w:hAnsi="Times New Roman" w:cs="Times New Roman"/>
          <w:sz w:val="23"/>
          <w:szCs w:val="23"/>
        </w:rPr>
        <w:t>s</w:t>
      </w:r>
      <w:r w:rsidRPr="006C585B">
        <w:rPr>
          <w:rFonts w:ascii="Times New Roman" w:hAnsi="Times New Roman" w:cs="Times New Roman"/>
          <w:sz w:val="23"/>
          <w:szCs w:val="23"/>
        </w:rPr>
        <w:t xml:space="preserve">, families, 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schools, </w:t>
      </w:r>
      <w:r w:rsidRPr="006C585B">
        <w:rPr>
          <w:rFonts w:ascii="Times New Roman" w:hAnsi="Times New Roman" w:cs="Times New Roman"/>
          <w:sz w:val="23"/>
          <w:szCs w:val="23"/>
        </w:rPr>
        <w:t>etc.</w:t>
      </w:r>
      <w:r w:rsidR="001B4831" w:rsidRPr="006C585B">
        <w:rPr>
          <w:rFonts w:ascii="Times New Roman" w:hAnsi="Times New Roman" w:cs="Times New Roman"/>
          <w:sz w:val="23"/>
          <w:szCs w:val="23"/>
        </w:rPr>
        <w:t>;</w:t>
      </w:r>
      <w:r w:rsidRPr="006C585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393B8C8" w14:textId="652A2384" w:rsidR="001B4831" w:rsidRPr="006C585B" w:rsidRDefault="001B4831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 xml:space="preserve">Community clothing drives; </w:t>
      </w:r>
    </w:p>
    <w:p w14:paraId="4AB1AA45" w14:textId="0AA60420" w:rsidR="00F17B18" w:rsidRPr="006C585B" w:rsidRDefault="001B4831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>Participation</w:t>
      </w:r>
      <w:r w:rsidR="00F17B18" w:rsidRPr="006C585B">
        <w:rPr>
          <w:rFonts w:ascii="Times New Roman" w:hAnsi="Times New Roman" w:cs="Times New Roman"/>
          <w:sz w:val="23"/>
          <w:szCs w:val="23"/>
        </w:rPr>
        <w:t xml:space="preserve"> in the </w:t>
      </w:r>
      <w:r w:rsidR="002E34E4" w:rsidRPr="006C585B">
        <w:rPr>
          <w:rFonts w:ascii="Times New Roman" w:hAnsi="Times New Roman" w:cs="Times New Roman"/>
          <w:sz w:val="23"/>
          <w:szCs w:val="23"/>
        </w:rPr>
        <w:t>Honor Flight</w:t>
      </w:r>
      <w:r w:rsidR="00F17B18" w:rsidRPr="006C585B">
        <w:rPr>
          <w:rFonts w:ascii="Times New Roman" w:hAnsi="Times New Roman" w:cs="Times New Roman"/>
          <w:sz w:val="23"/>
          <w:szCs w:val="23"/>
        </w:rPr>
        <w:t xml:space="preserve"> </w:t>
      </w:r>
      <w:r w:rsidRPr="006C585B">
        <w:rPr>
          <w:rFonts w:ascii="Times New Roman" w:hAnsi="Times New Roman" w:cs="Times New Roman"/>
          <w:sz w:val="23"/>
          <w:szCs w:val="23"/>
        </w:rPr>
        <w:t>program</w:t>
      </w:r>
      <w:r w:rsidR="00F17B18" w:rsidRPr="006C585B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2268991C" w14:textId="17724596" w:rsidR="00F17B18" w:rsidRPr="006C585B" w:rsidRDefault="002E34E4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>Volunteer</w:t>
      </w:r>
      <w:r w:rsidR="00F17B18" w:rsidRPr="006C585B">
        <w:rPr>
          <w:rFonts w:ascii="Times New Roman" w:hAnsi="Times New Roman" w:cs="Times New Roman"/>
          <w:sz w:val="23"/>
          <w:szCs w:val="23"/>
        </w:rPr>
        <w:t>ing</w:t>
      </w:r>
      <w:r w:rsidRPr="006C585B">
        <w:rPr>
          <w:rFonts w:ascii="Times New Roman" w:hAnsi="Times New Roman" w:cs="Times New Roman"/>
          <w:sz w:val="23"/>
          <w:szCs w:val="23"/>
        </w:rPr>
        <w:t xml:space="preserve"> 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with the </w:t>
      </w:r>
      <w:r w:rsidRPr="006C585B">
        <w:rPr>
          <w:rFonts w:ascii="Times New Roman" w:hAnsi="Times New Roman" w:cs="Times New Roman"/>
          <w:sz w:val="23"/>
          <w:szCs w:val="23"/>
        </w:rPr>
        <w:t xml:space="preserve">Alzheimer's 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Coalition, </w:t>
      </w:r>
      <w:r w:rsidR="00F038DF" w:rsidRPr="006C585B">
        <w:rPr>
          <w:rFonts w:ascii="Times New Roman" w:hAnsi="Times New Roman" w:cs="Times New Roman"/>
          <w:sz w:val="23"/>
          <w:szCs w:val="23"/>
        </w:rPr>
        <w:t xml:space="preserve">and 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participation in the </w:t>
      </w:r>
      <w:r w:rsidRPr="006C585B">
        <w:rPr>
          <w:rFonts w:ascii="Times New Roman" w:hAnsi="Times New Roman" w:cs="Times New Roman"/>
          <w:sz w:val="23"/>
          <w:szCs w:val="23"/>
        </w:rPr>
        <w:t>Area IV Senior Games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3D1768EE" w14:textId="7183C39C" w:rsidR="002E34E4" w:rsidRPr="006C585B" w:rsidRDefault="00BC4117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>V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olunteering with </w:t>
      </w:r>
      <w:r w:rsidR="002E34E4" w:rsidRPr="006C585B">
        <w:rPr>
          <w:rFonts w:ascii="Times New Roman" w:hAnsi="Times New Roman" w:cs="Times New Roman"/>
          <w:sz w:val="23"/>
          <w:szCs w:val="23"/>
        </w:rPr>
        <w:t xml:space="preserve">other non-for-profit organizations in 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the </w:t>
      </w:r>
      <w:r w:rsidR="002E34E4" w:rsidRPr="006C585B">
        <w:rPr>
          <w:rFonts w:ascii="Times New Roman" w:hAnsi="Times New Roman" w:cs="Times New Roman"/>
          <w:sz w:val="23"/>
          <w:szCs w:val="23"/>
        </w:rPr>
        <w:t>local community</w:t>
      </w:r>
      <w:r w:rsidR="001B4831" w:rsidRPr="006C585B">
        <w:rPr>
          <w:rFonts w:ascii="Times New Roman" w:hAnsi="Times New Roman" w:cs="Times New Roman"/>
          <w:sz w:val="23"/>
          <w:szCs w:val="23"/>
        </w:rPr>
        <w:t>;</w:t>
      </w:r>
      <w:r w:rsidR="002E34E4" w:rsidRPr="006C585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43A0A20" w14:textId="72C32592" w:rsidR="00E25596" w:rsidRPr="006C585B" w:rsidRDefault="00E25596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>Sponsoring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 local </w:t>
      </w:r>
      <w:r w:rsidRPr="006C585B">
        <w:rPr>
          <w:rFonts w:ascii="Times New Roman" w:hAnsi="Times New Roman" w:cs="Times New Roman"/>
          <w:sz w:val="23"/>
          <w:szCs w:val="23"/>
        </w:rPr>
        <w:t>community and civic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 </w:t>
      </w:r>
      <w:r w:rsidRPr="006C585B">
        <w:rPr>
          <w:rFonts w:ascii="Times New Roman" w:hAnsi="Times New Roman" w:cs="Times New Roman"/>
          <w:sz w:val="23"/>
          <w:szCs w:val="23"/>
        </w:rPr>
        <w:t>events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 and/or </w:t>
      </w:r>
      <w:r w:rsidRPr="006C585B">
        <w:rPr>
          <w:rFonts w:ascii="Times New Roman" w:hAnsi="Times New Roman" w:cs="Times New Roman"/>
          <w:sz w:val="23"/>
          <w:szCs w:val="23"/>
        </w:rPr>
        <w:t>permitting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 local </w:t>
      </w:r>
      <w:r w:rsidRPr="006C585B">
        <w:rPr>
          <w:rFonts w:ascii="Times New Roman" w:hAnsi="Times New Roman" w:cs="Times New Roman"/>
          <w:sz w:val="23"/>
          <w:szCs w:val="23"/>
        </w:rPr>
        <w:t>organizations</w:t>
      </w:r>
      <w:r w:rsidR="001B4831" w:rsidRPr="006C585B">
        <w:rPr>
          <w:rFonts w:ascii="Times New Roman" w:hAnsi="Times New Roman" w:cs="Times New Roman"/>
          <w:sz w:val="23"/>
          <w:szCs w:val="23"/>
        </w:rPr>
        <w:t xml:space="preserve"> to utilize the spaces and </w:t>
      </w:r>
      <w:r w:rsidR="002B5FD4" w:rsidRPr="006C585B">
        <w:rPr>
          <w:rFonts w:ascii="Times New Roman" w:hAnsi="Times New Roman" w:cs="Times New Roman"/>
          <w:sz w:val="23"/>
          <w:szCs w:val="23"/>
        </w:rPr>
        <w:t xml:space="preserve">amenities </w:t>
      </w:r>
      <w:r w:rsidR="001B4831" w:rsidRPr="006C585B">
        <w:rPr>
          <w:rFonts w:ascii="Times New Roman" w:hAnsi="Times New Roman" w:cs="Times New Roman"/>
          <w:sz w:val="23"/>
          <w:szCs w:val="23"/>
        </w:rPr>
        <w:t>of the CCRC</w:t>
      </w:r>
      <w:r w:rsidR="0049175A" w:rsidRPr="006C585B">
        <w:rPr>
          <w:rFonts w:ascii="Times New Roman" w:hAnsi="Times New Roman" w:cs="Times New Roman"/>
          <w:sz w:val="23"/>
          <w:szCs w:val="23"/>
        </w:rPr>
        <w:t xml:space="preserve"> a</w:t>
      </w:r>
      <w:r w:rsidR="00F038DF" w:rsidRPr="006C585B">
        <w:rPr>
          <w:rFonts w:ascii="Times New Roman" w:hAnsi="Times New Roman" w:cs="Times New Roman"/>
          <w:sz w:val="23"/>
          <w:szCs w:val="23"/>
        </w:rPr>
        <w:t>t</w:t>
      </w:r>
      <w:r w:rsidR="0049175A" w:rsidRPr="006C585B">
        <w:rPr>
          <w:rFonts w:ascii="Times New Roman" w:hAnsi="Times New Roman" w:cs="Times New Roman"/>
          <w:sz w:val="23"/>
          <w:szCs w:val="23"/>
        </w:rPr>
        <w:t xml:space="preserve"> no or </w:t>
      </w:r>
      <w:r w:rsidR="002B5FD4" w:rsidRPr="006C585B">
        <w:rPr>
          <w:rFonts w:ascii="Times New Roman" w:hAnsi="Times New Roman" w:cs="Times New Roman"/>
          <w:sz w:val="23"/>
          <w:szCs w:val="23"/>
        </w:rPr>
        <w:t>reduced</w:t>
      </w:r>
      <w:r w:rsidR="0049175A" w:rsidRPr="006C585B">
        <w:rPr>
          <w:rFonts w:ascii="Times New Roman" w:hAnsi="Times New Roman" w:cs="Times New Roman"/>
          <w:sz w:val="23"/>
          <w:szCs w:val="23"/>
        </w:rPr>
        <w:t xml:space="preserve"> costs</w:t>
      </w:r>
      <w:r w:rsidRPr="006C585B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38437869" w14:textId="458406C2" w:rsidR="002B5FD4" w:rsidRPr="006C585B" w:rsidRDefault="002B5FD4" w:rsidP="006C585B">
      <w:pPr>
        <w:pStyle w:val="ListParagraph"/>
        <w:numPr>
          <w:ilvl w:val="0"/>
          <w:numId w:val="16"/>
        </w:numPr>
        <w:adjustRightInd w:val="0"/>
        <w:ind w:left="720" w:righ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6C585B">
        <w:rPr>
          <w:rFonts w:ascii="Times New Roman" w:hAnsi="Times New Roman" w:cs="Times New Roman"/>
          <w:sz w:val="23"/>
          <w:szCs w:val="23"/>
        </w:rPr>
        <w:t xml:space="preserve">Participating in Christmas and other holiday </w:t>
      </w:r>
      <w:r w:rsidR="00BC4117" w:rsidRPr="006C585B">
        <w:rPr>
          <w:rFonts w:ascii="Times New Roman" w:hAnsi="Times New Roman" w:cs="Times New Roman"/>
          <w:sz w:val="23"/>
          <w:szCs w:val="23"/>
        </w:rPr>
        <w:t xml:space="preserve">food and gift </w:t>
      </w:r>
      <w:r w:rsidRPr="006C585B">
        <w:rPr>
          <w:rFonts w:ascii="Times New Roman" w:hAnsi="Times New Roman" w:cs="Times New Roman"/>
          <w:sz w:val="23"/>
          <w:szCs w:val="23"/>
        </w:rPr>
        <w:t>drives by adopting families, donating and wrapping gifts</w:t>
      </w:r>
      <w:r w:rsidR="00CB040D" w:rsidRPr="006C585B">
        <w:rPr>
          <w:rFonts w:ascii="Times New Roman" w:hAnsi="Times New Roman" w:cs="Times New Roman"/>
          <w:sz w:val="23"/>
          <w:szCs w:val="23"/>
        </w:rPr>
        <w:t>.</w:t>
      </w:r>
      <w:r w:rsidRPr="006C585B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57F2B038" w14:textId="77777777" w:rsidR="006C585B" w:rsidRDefault="006C585B" w:rsidP="006C585B">
      <w:pPr>
        <w:ind w:right="720"/>
        <w:jc w:val="both"/>
        <w:rPr>
          <w:rFonts w:ascii="Times New Roman" w:eastAsia="Times New Roman" w:hAnsi="Times New Roman" w:cs="Times New Roman"/>
        </w:rPr>
      </w:pPr>
    </w:p>
    <w:p w14:paraId="1A149A4F" w14:textId="7AE9CD4E" w:rsidR="00D00673" w:rsidRPr="00D00673" w:rsidRDefault="00D00673" w:rsidP="006C585B">
      <w:pPr>
        <w:ind w:right="720"/>
        <w:jc w:val="both"/>
        <w:rPr>
          <w:rFonts w:ascii="Times New Roman" w:eastAsia="Times New Roman" w:hAnsi="Times New Roman" w:cs="Times New Roman"/>
        </w:rPr>
      </w:pPr>
      <w:r w:rsidRPr="00D00673">
        <w:rPr>
          <w:rFonts w:ascii="Times New Roman" w:eastAsia="Times New Roman" w:hAnsi="Times New Roman" w:cs="Times New Roman"/>
        </w:rPr>
        <w:t xml:space="preserve">The above list puts Indiana’s NFP CCRCs </w:t>
      </w:r>
      <w:r w:rsidR="000A32C9">
        <w:rPr>
          <w:rFonts w:ascii="Times New Roman" w:eastAsia="Times New Roman" w:hAnsi="Times New Roman" w:cs="Times New Roman"/>
        </w:rPr>
        <w:t xml:space="preserve">(and other senior living providers who do these things as well) </w:t>
      </w:r>
      <w:r w:rsidRPr="00D00673">
        <w:rPr>
          <w:rFonts w:ascii="Times New Roman" w:eastAsia="Times New Roman" w:hAnsi="Times New Roman" w:cs="Times New Roman"/>
        </w:rPr>
        <w:t xml:space="preserve">squarely in line with the definition of “charitable purpose” established in </w:t>
      </w:r>
      <w:hyperlink r:id="rId8" w:history="1">
        <w:r w:rsidRPr="00D00673">
          <w:rPr>
            <w:rFonts w:ascii="Times New Roman" w:eastAsia="Times New Roman" w:hAnsi="Times New Roman" w:cs="Times New Roman"/>
          </w:rPr>
          <w:t xml:space="preserve">State </w:t>
        </w:r>
        <w:r w:rsidRPr="00D00673">
          <w:rPr>
            <w:rFonts w:ascii="Times New Roman" w:eastAsia="Times New Roman" w:hAnsi="Times New Roman" w:cs="Times New Roman"/>
            <w:i/>
            <w:iCs/>
          </w:rPr>
          <w:t>Board of Tax Commissioners v. Methodist Home for the Aged</w:t>
        </w:r>
      </w:hyperlink>
      <w:r w:rsidRPr="00D0067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(1968)</w:t>
      </w:r>
      <w:r w:rsidR="0026507D">
        <w:rPr>
          <w:rFonts w:ascii="Times New Roman" w:eastAsia="Times New Roman" w:hAnsi="Times New Roman" w:cs="Times New Roman"/>
        </w:rPr>
        <w:t xml:space="preserve"> a</w:t>
      </w:r>
      <w:r w:rsidRPr="00D00673">
        <w:rPr>
          <w:rFonts w:ascii="Times New Roman" w:eastAsia="Times New Roman" w:hAnsi="Times New Roman" w:cs="Times New Roman"/>
        </w:rPr>
        <w:t>nd its progeny</w:t>
      </w:r>
      <w:r w:rsidR="00BC4117">
        <w:rPr>
          <w:rFonts w:ascii="Times New Roman" w:eastAsia="Times New Roman" w:hAnsi="Times New Roman" w:cs="Times New Roman"/>
        </w:rPr>
        <w:t>:</w:t>
      </w:r>
      <w:r w:rsidRPr="00D00673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Pr="0026507D">
          <w:rPr>
            <w:rFonts w:ascii="Times New Roman" w:eastAsia="Times New Roman" w:hAnsi="Times New Roman" w:cs="Times New Roman"/>
            <w:i/>
            <w:iCs/>
          </w:rPr>
          <w:t>Raintree Friends Housing, Inc. v. Indiana Department of State Revenue</w:t>
        </w:r>
      </w:hyperlink>
      <w:r w:rsidRPr="0026507D">
        <w:rPr>
          <w:rFonts w:ascii="Times New Roman" w:eastAsia="Times New Roman" w:hAnsi="Times New Roman" w:cs="Times New Roman"/>
          <w:i/>
          <w:iCs/>
        </w:rPr>
        <w:t xml:space="preserve"> </w:t>
      </w:r>
      <w:r w:rsidRPr="00D00673">
        <w:rPr>
          <w:rFonts w:ascii="Times New Roman" w:eastAsia="Times New Roman" w:hAnsi="Times New Roman" w:cs="Times New Roman"/>
        </w:rPr>
        <w:t xml:space="preserve">(1996); </w:t>
      </w:r>
      <w:hyperlink r:id="rId10" w:history="1">
        <w:r w:rsidRPr="0026507D">
          <w:rPr>
            <w:rFonts w:ascii="Times New Roman" w:eastAsia="Times New Roman" w:hAnsi="Times New Roman" w:cs="Times New Roman"/>
            <w:i/>
            <w:iCs/>
          </w:rPr>
          <w:t>Knox County Property Tax Assessment Board of Appeals v. Grandview Care</w:t>
        </w:r>
      </w:hyperlink>
      <w:r w:rsidRPr="0026507D">
        <w:rPr>
          <w:rFonts w:ascii="Times New Roman" w:eastAsia="Times New Roman" w:hAnsi="Times New Roman" w:cs="Times New Roman"/>
          <w:i/>
          <w:iCs/>
        </w:rPr>
        <w:t xml:space="preserve"> </w:t>
      </w:r>
      <w:r w:rsidRPr="00D00673">
        <w:rPr>
          <w:rFonts w:ascii="Times New Roman" w:eastAsia="Times New Roman" w:hAnsi="Times New Roman" w:cs="Times New Roman"/>
        </w:rPr>
        <w:t xml:space="preserve">(2003); </w:t>
      </w:r>
      <w:hyperlink r:id="rId11" w:history="1">
        <w:r w:rsidRPr="0026507D">
          <w:rPr>
            <w:rFonts w:ascii="Times New Roman" w:eastAsia="Times New Roman" w:hAnsi="Times New Roman" w:cs="Times New Roman"/>
            <w:i/>
            <w:iCs/>
          </w:rPr>
          <w:t>Wittenburg Lutheran Village Endowment Corporation v. Lake County Property Tax Assessment Board of Appeals</w:t>
        </w:r>
      </w:hyperlink>
      <w:r w:rsidRPr="0026507D">
        <w:rPr>
          <w:rFonts w:ascii="Times New Roman" w:eastAsia="Times New Roman" w:hAnsi="Times New Roman" w:cs="Times New Roman"/>
          <w:i/>
          <w:iCs/>
        </w:rPr>
        <w:t xml:space="preserve"> </w:t>
      </w:r>
      <w:r w:rsidRPr="00D00673">
        <w:rPr>
          <w:rFonts w:ascii="Times New Roman" w:eastAsia="Times New Roman" w:hAnsi="Times New Roman" w:cs="Times New Roman"/>
        </w:rPr>
        <w:t xml:space="preserve">(2003); </w:t>
      </w:r>
      <w:hyperlink r:id="rId12" w:history="1">
        <w:r w:rsidRPr="0026507D">
          <w:rPr>
            <w:rFonts w:ascii="Times New Roman" w:eastAsia="Times New Roman" w:hAnsi="Times New Roman" w:cs="Times New Roman"/>
            <w:i/>
            <w:iCs/>
          </w:rPr>
          <w:t>Greencroft Goshen, Inc. and Greencroft Middlebury, Inc v. Elkhart County Assessor</w:t>
        </w:r>
      </w:hyperlink>
      <w:r w:rsidRPr="00D00673">
        <w:rPr>
          <w:rFonts w:ascii="Times New Roman" w:eastAsia="Times New Roman" w:hAnsi="Times New Roman" w:cs="Times New Roman"/>
        </w:rPr>
        <w:t xml:space="preserve"> (2010); and </w:t>
      </w:r>
      <w:hyperlink r:id="rId13" w:history="1">
        <w:r w:rsidRPr="0026507D">
          <w:rPr>
            <w:rFonts w:ascii="Times New Roman" w:eastAsia="Times New Roman" w:hAnsi="Times New Roman" w:cs="Times New Roman"/>
            <w:i/>
            <w:iCs/>
          </w:rPr>
          <w:t>Oak Village, Inc., v. Knox County Assessor</w:t>
        </w:r>
      </w:hyperlink>
      <w:r w:rsidRPr="00D00673">
        <w:rPr>
          <w:rFonts w:ascii="Times New Roman" w:eastAsia="Times New Roman" w:hAnsi="Times New Roman" w:cs="Times New Roman"/>
        </w:rPr>
        <w:t xml:space="preserve"> (2017). </w:t>
      </w:r>
      <w:r w:rsidR="006C585B">
        <w:rPr>
          <w:rFonts w:ascii="Times New Roman" w:eastAsia="Times New Roman" w:hAnsi="Times New Roman" w:cs="Times New Roman"/>
        </w:rPr>
        <w:t xml:space="preserve"> Th</w:t>
      </w:r>
      <w:r w:rsidR="008415BE">
        <w:rPr>
          <w:rFonts w:ascii="Times New Roman" w:eastAsia="Times New Roman" w:hAnsi="Times New Roman" w:cs="Times New Roman"/>
        </w:rPr>
        <w:t xml:space="preserve">us, </w:t>
      </w:r>
      <w:r w:rsidR="00943D93">
        <w:rPr>
          <w:rFonts w:ascii="Times New Roman" w:eastAsia="Times New Roman" w:hAnsi="Times New Roman" w:cs="Times New Roman"/>
        </w:rPr>
        <w:t xml:space="preserve">our proposed language will </w:t>
      </w:r>
      <w:r w:rsidR="006C585B">
        <w:rPr>
          <w:rFonts w:ascii="Times New Roman" w:eastAsia="Times New Roman" w:hAnsi="Times New Roman" w:cs="Times New Roman"/>
        </w:rPr>
        <w:t xml:space="preserve">merely </w:t>
      </w:r>
      <w:r w:rsidR="008415BE">
        <w:rPr>
          <w:rFonts w:ascii="Times New Roman" w:eastAsia="Times New Roman" w:hAnsi="Times New Roman" w:cs="Times New Roman"/>
        </w:rPr>
        <w:t xml:space="preserve">seek to sync up Ind. Code with </w:t>
      </w:r>
      <w:r w:rsidR="006C585B">
        <w:rPr>
          <w:rFonts w:ascii="Times New Roman" w:eastAsia="Times New Roman" w:hAnsi="Times New Roman" w:cs="Times New Roman"/>
        </w:rPr>
        <w:t xml:space="preserve">legal precedent on this matter.  </w:t>
      </w:r>
    </w:p>
    <w:p w14:paraId="7FD8AF85" w14:textId="1DBA2944" w:rsidR="004A4843" w:rsidRDefault="00BC4117" w:rsidP="006C585B">
      <w:pPr>
        <w:ind w:righ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Indiana’s NFP CCRC’s </w:t>
      </w:r>
      <w:r w:rsidR="00943D93">
        <w:rPr>
          <w:rFonts w:ascii="Times New Roman" w:eastAsia="Times New Roman" w:hAnsi="Times New Roman" w:cs="Times New Roman"/>
        </w:rPr>
        <w:t xml:space="preserve">(as do other categories of senior living providers) </w:t>
      </w:r>
      <w:r>
        <w:rPr>
          <w:rFonts w:ascii="Times New Roman" w:eastAsia="Times New Roman" w:hAnsi="Times New Roman" w:cs="Times New Roman"/>
        </w:rPr>
        <w:t xml:space="preserve">provide a </w:t>
      </w:r>
      <w:r w:rsidR="004A4843">
        <w:rPr>
          <w:rFonts w:ascii="Times New Roman" w:eastAsia="Times New Roman" w:hAnsi="Times New Roman" w:cs="Times New Roman"/>
        </w:rPr>
        <w:t>routine and identifiable charitable purpose</w:t>
      </w:r>
      <w:r>
        <w:rPr>
          <w:rFonts w:ascii="Times New Roman" w:eastAsia="Times New Roman" w:hAnsi="Times New Roman" w:cs="Times New Roman"/>
        </w:rPr>
        <w:t xml:space="preserve"> to their </w:t>
      </w:r>
      <w:r w:rsidR="004A4843">
        <w:rPr>
          <w:rFonts w:ascii="Times New Roman" w:eastAsia="Times New Roman" w:hAnsi="Times New Roman" w:cs="Times New Roman"/>
        </w:rPr>
        <w:t>residents</w:t>
      </w:r>
      <w:r w:rsidR="00F238E9">
        <w:rPr>
          <w:rFonts w:ascii="Times New Roman" w:eastAsia="Times New Roman" w:hAnsi="Times New Roman" w:cs="Times New Roman"/>
        </w:rPr>
        <w:t xml:space="preserve"> and to the communities in which they are located.  </w:t>
      </w:r>
      <w:r w:rsidR="004A4843">
        <w:rPr>
          <w:rFonts w:ascii="Times New Roman" w:eastAsia="Times New Roman" w:hAnsi="Times New Roman" w:cs="Times New Roman"/>
        </w:rPr>
        <w:t xml:space="preserve">CCRCs ensure the continuation of high-level quality of care for individuals </w:t>
      </w:r>
      <w:r w:rsidR="00F238E9">
        <w:rPr>
          <w:rFonts w:ascii="Times New Roman" w:eastAsia="Times New Roman" w:hAnsi="Times New Roman" w:cs="Times New Roman"/>
        </w:rPr>
        <w:t xml:space="preserve">and their families </w:t>
      </w:r>
      <w:r w:rsidR="004A4843">
        <w:rPr>
          <w:rFonts w:ascii="Times New Roman" w:eastAsia="Times New Roman" w:hAnsi="Times New Roman" w:cs="Times New Roman"/>
        </w:rPr>
        <w:t xml:space="preserve">who have decided to take their future into their own hands, thus, relieving the state of that potential </w:t>
      </w:r>
      <w:r w:rsidR="00F038DF">
        <w:rPr>
          <w:rFonts w:ascii="Times New Roman" w:eastAsia="Times New Roman" w:hAnsi="Times New Roman" w:cs="Times New Roman"/>
        </w:rPr>
        <w:t xml:space="preserve">financial </w:t>
      </w:r>
      <w:r w:rsidR="004A4843">
        <w:rPr>
          <w:rFonts w:ascii="Times New Roman" w:eastAsia="Times New Roman" w:hAnsi="Times New Roman" w:cs="Times New Roman"/>
        </w:rPr>
        <w:t xml:space="preserve">burden.  </w:t>
      </w:r>
    </w:p>
    <w:p w14:paraId="765E4B48" w14:textId="35CD6356" w:rsidR="00904EBE" w:rsidRDefault="00943D93" w:rsidP="006C585B">
      <w:pPr>
        <w:ind w:righ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Conveying exempt status i</w:t>
      </w:r>
      <w:r w:rsidR="00F238E9">
        <w:rPr>
          <w:rFonts w:ascii="Times New Roman" w:eastAsia="Times New Roman" w:hAnsi="Times New Roman" w:cs="Times New Roman"/>
        </w:rPr>
        <w:t xml:space="preserve">s an acknowledgment of the community and societal benefits provided by NFP CCRCs, and other NFP providers.  It also </w:t>
      </w:r>
      <w:r w:rsidR="004E06C1">
        <w:rPr>
          <w:rFonts w:ascii="Times New Roman" w:eastAsia="Times New Roman" w:hAnsi="Times New Roman" w:cs="Times New Roman"/>
        </w:rPr>
        <w:t>permanent</w:t>
      </w:r>
      <w:r w:rsidR="00F238E9">
        <w:rPr>
          <w:rFonts w:ascii="Times New Roman" w:eastAsia="Times New Roman" w:hAnsi="Times New Roman" w:cs="Times New Roman"/>
        </w:rPr>
        <w:t xml:space="preserve">ly clarifies </w:t>
      </w:r>
      <w:r w:rsidR="004E06C1">
        <w:rPr>
          <w:rFonts w:ascii="Times New Roman" w:eastAsia="Times New Roman" w:hAnsi="Times New Roman" w:cs="Times New Roman"/>
        </w:rPr>
        <w:t>property</w:t>
      </w:r>
      <w:r w:rsidR="002B5FD4">
        <w:rPr>
          <w:rFonts w:ascii="Times New Roman" w:eastAsia="Times New Roman" w:hAnsi="Times New Roman" w:cs="Times New Roman"/>
        </w:rPr>
        <w:t xml:space="preserve"> tax </w:t>
      </w:r>
      <w:r w:rsidR="004E06C1">
        <w:rPr>
          <w:rFonts w:ascii="Times New Roman" w:eastAsia="Times New Roman" w:hAnsi="Times New Roman" w:cs="Times New Roman"/>
        </w:rPr>
        <w:t>treatment</w:t>
      </w:r>
      <w:r w:rsidR="002B5FD4">
        <w:rPr>
          <w:rFonts w:ascii="Times New Roman" w:eastAsia="Times New Roman" w:hAnsi="Times New Roman" w:cs="Times New Roman"/>
        </w:rPr>
        <w:t xml:space="preserve"> for Indiana’s NFP senior living </w:t>
      </w:r>
      <w:r w:rsidR="004E06C1">
        <w:rPr>
          <w:rFonts w:ascii="Times New Roman" w:eastAsia="Times New Roman" w:hAnsi="Times New Roman" w:cs="Times New Roman"/>
        </w:rPr>
        <w:t>providers</w:t>
      </w:r>
      <w:r w:rsidR="004A4843">
        <w:rPr>
          <w:rFonts w:ascii="Times New Roman" w:eastAsia="Times New Roman" w:hAnsi="Times New Roman" w:cs="Times New Roman"/>
        </w:rPr>
        <w:t xml:space="preserve"> and their residents.  </w:t>
      </w:r>
      <w:r w:rsidR="006C585B">
        <w:rPr>
          <w:rFonts w:ascii="Times New Roman" w:eastAsia="Times New Roman" w:hAnsi="Times New Roman" w:cs="Times New Roman"/>
        </w:rPr>
        <w:t xml:space="preserve">Again, </w:t>
      </w:r>
      <w:r>
        <w:rPr>
          <w:rFonts w:ascii="Times New Roman" w:eastAsia="Times New Roman" w:hAnsi="Times New Roman" w:cs="Times New Roman"/>
        </w:rPr>
        <w:t xml:space="preserve">our proposed language is not </w:t>
      </w:r>
      <w:r w:rsidR="00F238E9" w:rsidRPr="00C8348B">
        <w:rPr>
          <w:rFonts w:ascii="Times New Roman" w:hAnsi="Times New Roman" w:cs="Times New Roman"/>
        </w:rPr>
        <w:t xml:space="preserve">creating a new class of exemptions. </w:t>
      </w:r>
      <w:r>
        <w:rPr>
          <w:rFonts w:ascii="Times New Roman" w:hAnsi="Times New Roman" w:cs="Times New Roman"/>
        </w:rPr>
        <w:t xml:space="preserve"> </w:t>
      </w:r>
      <w:r w:rsidR="00904EBE">
        <w:rPr>
          <w:rFonts w:ascii="Times New Roman" w:eastAsia="Times New Roman" w:hAnsi="Times New Roman" w:cs="Times New Roman"/>
        </w:rPr>
        <w:t>To the contrary, f</w:t>
      </w:r>
      <w:r w:rsidR="002B5FD4">
        <w:rPr>
          <w:rFonts w:ascii="Times New Roman" w:eastAsia="Times New Roman" w:hAnsi="Times New Roman" w:cs="Times New Roman"/>
        </w:rPr>
        <w:t xml:space="preserve">ailure to </w:t>
      </w:r>
      <w:r w:rsidR="00904EBE">
        <w:rPr>
          <w:rFonts w:ascii="Times New Roman" w:eastAsia="Times New Roman" w:hAnsi="Times New Roman" w:cs="Times New Roman"/>
        </w:rPr>
        <w:t>provide such clarity w</w:t>
      </w:r>
      <w:r w:rsidR="00F238E9">
        <w:rPr>
          <w:rFonts w:ascii="Times New Roman" w:eastAsia="Times New Roman" w:hAnsi="Times New Roman" w:cs="Times New Roman"/>
        </w:rPr>
        <w:t>ill r</w:t>
      </w:r>
      <w:r w:rsidR="002B5FD4">
        <w:rPr>
          <w:rFonts w:ascii="Times New Roman" w:eastAsia="Times New Roman" w:hAnsi="Times New Roman" w:cs="Times New Roman"/>
        </w:rPr>
        <w:t xml:space="preserve">esult in </w:t>
      </w:r>
      <w:r w:rsidR="00904EBE">
        <w:rPr>
          <w:rFonts w:ascii="Times New Roman" w:eastAsia="Times New Roman" w:hAnsi="Times New Roman" w:cs="Times New Roman"/>
        </w:rPr>
        <w:t xml:space="preserve">a </w:t>
      </w:r>
      <w:r w:rsidR="00F238E9">
        <w:rPr>
          <w:rFonts w:ascii="Times New Roman" w:eastAsia="Times New Roman" w:hAnsi="Times New Roman" w:cs="Times New Roman"/>
        </w:rPr>
        <w:t xml:space="preserve">new </w:t>
      </w:r>
      <w:r w:rsidR="002B5FD4">
        <w:rPr>
          <w:rFonts w:ascii="Times New Roman" w:eastAsia="Times New Roman" w:hAnsi="Times New Roman" w:cs="Times New Roman"/>
        </w:rPr>
        <w:t>d</w:t>
      </w:r>
      <w:r w:rsidR="00904EBE">
        <w:rPr>
          <w:rFonts w:ascii="Times New Roman" w:eastAsia="Times New Roman" w:hAnsi="Times New Roman" w:cs="Times New Roman"/>
        </w:rPr>
        <w:t>i</w:t>
      </w:r>
      <w:r w:rsidR="002B5FD4">
        <w:rPr>
          <w:rFonts w:ascii="Times New Roman" w:eastAsia="Times New Roman" w:hAnsi="Times New Roman" w:cs="Times New Roman"/>
        </w:rPr>
        <w:t xml:space="preserve">rect tax </w:t>
      </w:r>
      <w:r w:rsidR="00904EBE">
        <w:rPr>
          <w:rFonts w:ascii="Times New Roman" w:eastAsia="Times New Roman" w:hAnsi="Times New Roman" w:cs="Times New Roman"/>
        </w:rPr>
        <w:t xml:space="preserve">increase </w:t>
      </w:r>
      <w:r w:rsidR="00281DEC">
        <w:rPr>
          <w:rFonts w:ascii="Times New Roman" w:eastAsia="Times New Roman" w:hAnsi="Times New Roman" w:cs="Times New Roman"/>
        </w:rPr>
        <w:t xml:space="preserve">on </w:t>
      </w:r>
      <w:r w:rsidR="00904EBE">
        <w:rPr>
          <w:rFonts w:ascii="Times New Roman" w:eastAsia="Times New Roman" w:hAnsi="Times New Roman" w:cs="Times New Roman"/>
        </w:rPr>
        <w:t>seniors</w:t>
      </w:r>
      <w:r w:rsidR="00F238E9">
        <w:rPr>
          <w:rFonts w:ascii="Times New Roman" w:eastAsia="Times New Roman" w:hAnsi="Times New Roman" w:cs="Times New Roman"/>
        </w:rPr>
        <w:t xml:space="preserve">, which will limit their ability </w:t>
      </w:r>
      <w:r w:rsidR="00904EBE">
        <w:rPr>
          <w:rFonts w:ascii="Times New Roman" w:eastAsia="Times New Roman" w:hAnsi="Times New Roman" w:cs="Times New Roman"/>
        </w:rPr>
        <w:t>to age in place</w:t>
      </w:r>
      <w:r w:rsidR="00F238E9">
        <w:rPr>
          <w:rFonts w:ascii="Times New Roman" w:eastAsia="Times New Roman" w:hAnsi="Times New Roman" w:cs="Times New Roman"/>
        </w:rPr>
        <w:t xml:space="preserve"> in a setting of their choosing.  </w:t>
      </w:r>
      <w:r w:rsidR="000A32C9">
        <w:rPr>
          <w:rFonts w:ascii="Times New Roman" w:eastAsia="Times New Roman" w:hAnsi="Times New Roman" w:cs="Times New Roman"/>
        </w:rPr>
        <w:t xml:space="preserve">Furthermore, a loss of exempt status will directly limit a provider’s ability to buy new equipment and extend additional services to residents).  </w:t>
      </w:r>
      <w:r w:rsidR="007E21B4">
        <w:rPr>
          <w:rFonts w:ascii="Times New Roman" w:eastAsia="Times New Roman" w:hAnsi="Times New Roman" w:cs="Times New Roman"/>
        </w:rPr>
        <w:t>Such a result is in direct contravention of the Braun Administration’s goal of reducing tax burdens on</w:t>
      </w:r>
      <w:r w:rsidR="000A32C9">
        <w:rPr>
          <w:rFonts w:ascii="Times New Roman" w:eastAsia="Times New Roman" w:hAnsi="Times New Roman" w:cs="Times New Roman"/>
        </w:rPr>
        <w:t xml:space="preserve">, and enhancing the lives of, </w:t>
      </w:r>
      <w:r w:rsidR="007E21B4">
        <w:rPr>
          <w:rFonts w:ascii="Times New Roman" w:eastAsia="Times New Roman" w:hAnsi="Times New Roman" w:cs="Times New Roman"/>
        </w:rPr>
        <w:t xml:space="preserve">Indiana seniors.  </w:t>
      </w:r>
    </w:p>
    <w:p w14:paraId="22AA9584" w14:textId="63DFEE26" w:rsidR="00904EBE" w:rsidRDefault="00F238E9" w:rsidP="006C585B">
      <w:pPr>
        <w:ind w:righ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Sound </w:t>
      </w:r>
      <w:r w:rsidR="00904EBE">
        <w:rPr>
          <w:rFonts w:ascii="Times New Roman" w:eastAsia="Times New Roman" w:hAnsi="Times New Roman" w:cs="Times New Roman"/>
        </w:rPr>
        <w:t xml:space="preserve">public policy </w:t>
      </w:r>
      <w:r>
        <w:rPr>
          <w:rFonts w:ascii="Times New Roman" w:eastAsia="Times New Roman" w:hAnsi="Times New Roman" w:cs="Times New Roman"/>
        </w:rPr>
        <w:t>insists</w:t>
      </w:r>
      <w:r w:rsidR="00904EBE">
        <w:rPr>
          <w:rFonts w:ascii="Times New Roman" w:eastAsia="Times New Roman" w:hAnsi="Times New Roman" w:cs="Times New Roman"/>
        </w:rPr>
        <w:t xml:space="preserve"> that the Indiana General Assembly prioritize our </w:t>
      </w:r>
      <w:r w:rsidR="00281DEC">
        <w:rPr>
          <w:rFonts w:ascii="Times New Roman" w:eastAsia="Times New Roman" w:hAnsi="Times New Roman" w:cs="Times New Roman"/>
        </w:rPr>
        <w:t>s</w:t>
      </w:r>
      <w:r w:rsidR="00904EBE">
        <w:rPr>
          <w:rFonts w:ascii="Times New Roman" w:eastAsia="Times New Roman" w:hAnsi="Times New Roman" w:cs="Times New Roman"/>
        </w:rPr>
        <w:t xml:space="preserve">eniors and those </w:t>
      </w:r>
      <w:r>
        <w:rPr>
          <w:rFonts w:ascii="Times New Roman" w:eastAsia="Times New Roman" w:hAnsi="Times New Roman" w:cs="Times New Roman"/>
        </w:rPr>
        <w:t xml:space="preserve">NFP providers </w:t>
      </w:r>
      <w:r w:rsidR="00904EBE">
        <w:rPr>
          <w:rFonts w:ascii="Times New Roman" w:eastAsia="Times New Roman" w:hAnsi="Times New Roman" w:cs="Times New Roman"/>
        </w:rPr>
        <w:t xml:space="preserve">that care for them. </w:t>
      </w:r>
    </w:p>
    <w:p w14:paraId="3CBD81AE" w14:textId="7DC3FC2B" w:rsidR="00F238E9" w:rsidRPr="002B5FD4" w:rsidRDefault="00904EBE" w:rsidP="006C585B">
      <w:pPr>
        <w:ind w:righ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continue to ask for you</w:t>
      </w:r>
      <w:r w:rsidR="004A4843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support of </w:t>
      </w:r>
      <w:r w:rsidR="00943D93">
        <w:rPr>
          <w:rFonts w:ascii="Times New Roman" w:eastAsia="Times New Roman" w:hAnsi="Times New Roman" w:cs="Times New Roman"/>
        </w:rPr>
        <w:t xml:space="preserve">Indiana’s NFP senior living </w:t>
      </w:r>
      <w:proofErr w:type="gramStart"/>
      <w:r w:rsidR="00943D93">
        <w:rPr>
          <w:rFonts w:ascii="Times New Roman" w:eastAsia="Times New Roman" w:hAnsi="Times New Roman" w:cs="Times New Roman"/>
        </w:rPr>
        <w:t xml:space="preserve">providers, </w:t>
      </w:r>
      <w:r w:rsidR="007D7B25">
        <w:rPr>
          <w:rFonts w:ascii="Times New Roman" w:eastAsia="Times New Roman" w:hAnsi="Times New Roman" w:cs="Times New Roman"/>
        </w:rPr>
        <w:t>and</w:t>
      </w:r>
      <w:proofErr w:type="gramEnd"/>
      <w:r w:rsidR="007D7B25">
        <w:rPr>
          <w:rFonts w:ascii="Times New Roman" w:eastAsia="Times New Roman" w:hAnsi="Times New Roman" w:cs="Times New Roman"/>
        </w:rPr>
        <w:t xml:space="preserve"> are happy to answer any additional questions you might have (</w:t>
      </w:r>
      <w:r w:rsidR="003E4DBA">
        <w:rPr>
          <w:rFonts w:ascii="Times New Roman" w:eastAsia="Times New Roman" w:hAnsi="Times New Roman" w:cs="Times New Roman"/>
        </w:rPr>
        <w:t>Eric Essley – President/ CEO – LeadingAge Indiana – eessley@leadingageindiana.org</w:t>
      </w:r>
      <w:r w:rsidR="007D7B25">
        <w:rPr>
          <w:rFonts w:ascii="Times New Roman" w:eastAsia="Times New Roman" w:hAnsi="Times New Roman" w:cs="Times New Roman"/>
        </w:rPr>
        <w:t>).</w:t>
      </w:r>
    </w:p>
    <w:p w14:paraId="6B7B5603" w14:textId="77777777" w:rsidR="00D00673" w:rsidRPr="002B5FD4" w:rsidRDefault="00D00673">
      <w:pPr>
        <w:ind w:left="-720"/>
        <w:jc w:val="both"/>
        <w:rPr>
          <w:rFonts w:ascii="Times New Roman" w:eastAsia="Times New Roman" w:hAnsi="Times New Roman" w:cs="Times New Roman"/>
        </w:rPr>
      </w:pPr>
    </w:p>
    <w:sectPr w:rsidR="00D00673" w:rsidRPr="002B5FD4" w:rsidSect="006C585B">
      <w:headerReference w:type="default" r:id="rId14"/>
      <w:footerReference w:type="default" r:id="rId15"/>
      <w:headerReference w:type="first" r:id="rId16"/>
      <w:pgSz w:w="12240" w:h="15840"/>
      <w:pgMar w:top="1080" w:right="720" w:bottom="720" w:left="1440" w:header="450" w:footer="14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F644" w14:textId="77777777" w:rsidR="004A4843" w:rsidRDefault="004A4843" w:rsidP="0062178D">
      <w:pPr>
        <w:spacing w:after="0" w:line="240" w:lineRule="auto"/>
      </w:pPr>
      <w:r>
        <w:separator/>
      </w:r>
    </w:p>
  </w:endnote>
  <w:endnote w:type="continuationSeparator" w:id="0">
    <w:p w14:paraId="5684F1CA" w14:textId="77777777" w:rsidR="004A4843" w:rsidRDefault="004A4843" w:rsidP="006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A8B0" w14:textId="650798B1" w:rsidR="004A4843" w:rsidRDefault="004A4843">
    <w:pPr>
      <w:pStyle w:val="Footer"/>
      <w:jc w:val="center"/>
    </w:pPr>
  </w:p>
  <w:p w14:paraId="271E1516" w14:textId="2ECB962E" w:rsidR="004A4843" w:rsidRDefault="004A4843" w:rsidP="0062178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7826" w14:textId="77777777" w:rsidR="004A4843" w:rsidRDefault="004A4843" w:rsidP="0062178D">
      <w:pPr>
        <w:spacing w:after="0" w:line="240" w:lineRule="auto"/>
      </w:pPr>
      <w:r>
        <w:separator/>
      </w:r>
    </w:p>
  </w:footnote>
  <w:footnote w:type="continuationSeparator" w:id="0">
    <w:p w14:paraId="530B2DEC" w14:textId="77777777" w:rsidR="004A4843" w:rsidRDefault="004A4843" w:rsidP="0062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809A" w14:textId="77777777" w:rsidR="004A4843" w:rsidRDefault="004A4843" w:rsidP="0062178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1D6D" w14:textId="2180238B" w:rsidR="004A4843" w:rsidRDefault="00BD665C" w:rsidP="00CB040D">
    <w:pPr>
      <w:pStyle w:val="Header"/>
      <w:tabs>
        <w:tab w:val="clear" w:pos="4680"/>
        <w:tab w:val="center" w:pos="4320"/>
      </w:tabs>
    </w:pPr>
    <w:r>
      <w:rPr>
        <w:noProof/>
      </w:rPr>
      <w:drawing>
        <wp:inline distT="0" distB="0" distL="0" distR="0" wp14:anchorId="4BE05945" wp14:editId="78CD9ABB">
          <wp:extent cx="2141425" cy="1026207"/>
          <wp:effectExtent l="0" t="0" r="0" b="2540"/>
          <wp:docPr id="28" name="Picture 2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_Indiana_isa_8-2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425" cy="1026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040D">
      <w:t xml:space="preserve">                                                                         </w:t>
    </w:r>
  </w:p>
  <w:p w14:paraId="49720FDA" w14:textId="77777777" w:rsidR="00CB040D" w:rsidRDefault="00CB04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D909E"/>
    <w:multiLevelType w:val="hybridMultilevel"/>
    <w:tmpl w:val="0C3044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14DBF"/>
    <w:multiLevelType w:val="hybridMultilevel"/>
    <w:tmpl w:val="B502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A83A89"/>
    <w:multiLevelType w:val="hybridMultilevel"/>
    <w:tmpl w:val="8F9CE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3165C"/>
    <w:multiLevelType w:val="hybridMultilevel"/>
    <w:tmpl w:val="33C0976A"/>
    <w:lvl w:ilvl="0" w:tplc="1496361C">
      <w:start w:val="102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35908"/>
    <w:multiLevelType w:val="multilevel"/>
    <w:tmpl w:val="9EB0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77EDD"/>
    <w:multiLevelType w:val="multilevel"/>
    <w:tmpl w:val="668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1093"/>
    <w:multiLevelType w:val="hybridMultilevel"/>
    <w:tmpl w:val="ED904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66FA"/>
    <w:multiLevelType w:val="multilevel"/>
    <w:tmpl w:val="C926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DDFFA"/>
    <w:multiLevelType w:val="hybridMultilevel"/>
    <w:tmpl w:val="46D273BA"/>
    <w:lvl w:ilvl="0" w:tplc="FFFFFFFF">
      <w:start w:val="1"/>
      <w:numFmt w:val="bullet"/>
      <w:lvlText w:val="•"/>
      <w:lvlJc w:val="left"/>
    </w:lvl>
    <w:lvl w:ilvl="1" w:tplc="663C06F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7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8" w:tplc="FFFFFFFF">
      <w:numFmt w:val="decimal"/>
      <w:lvlText w:val=""/>
      <w:lvlJc w:val="left"/>
    </w:lvl>
  </w:abstractNum>
  <w:abstractNum w:abstractNumId="9" w15:restartNumberingAfterBreak="0">
    <w:nsid w:val="517C421F"/>
    <w:multiLevelType w:val="multilevel"/>
    <w:tmpl w:val="DB80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229A6"/>
    <w:multiLevelType w:val="hybridMultilevel"/>
    <w:tmpl w:val="E9E21D6A"/>
    <w:lvl w:ilvl="0" w:tplc="AA7261D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63F43"/>
    <w:multiLevelType w:val="multilevel"/>
    <w:tmpl w:val="62A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E3348"/>
    <w:multiLevelType w:val="hybridMultilevel"/>
    <w:tmpl w:val="41166EC4"/>
    <w:lvl w:ilvl="0" w:tplc="EFD2D9B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F2968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13E7254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702A540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6BB0BBA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98F2F452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867A9F52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B1A0D61C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84B0CA7E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FD83804"/>
    <w:multiLevelType w:val="multilevel"/>
    <w:tmpl w:val="82FE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C0333"/>
    <w:multiLevelType w:val="hybridMultilevel"/>
    <w:tmpl w:val="EA5C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0B39CA"/>
    <w:multiLevelType w:val="multilevel"/>
    <w:tmpl w:val="5CB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84A9A"/>
    <w:multiLevelType w:val="hybridMultilevel"/>
    <w:tmpl w:val="AC56F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779D0"/>
    <w:multiLevelType w:val="hybridMultilevel"/>
    <w:tmpl w:val="8B8C05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num w:numId="1" w16cid:durableId="420760795">
    <w:abstractNumId w:val="12"/>
  </w:num>
  <w:num w:numId="2" w16cid:durableId="1955480074">
    <w:abstractNumId w:val="8"/>
  </w:num>
  <w:num w:numId="3" w16cid:durableId="500123996">
    <w:abstractNumId w:val="1"/>
  </w:num>
  <w:num w:numId="4" w16cid:durableId="1043288926">
    <w:abstractNumId w:val="6"/>
  </w:num>
  <w:num w:numId="5" w16cid:durableId="1077358156">
    <w:abstractNumId w:val="3"/>
  </w:num>
  <w:num w:numId="6" w16cid:durableId="1577745744">
    <w:abstractNumId w:val="16"/>
  </w:num>
  <w:num w:numId="7" w16cid:durableId="1180773832">
    <w:abstractNumId w:val="9"/>
  </w:num>
  <w:num w:numId="8" w16cid:durableId="1362240953">
    <w:abstractNumId w:val="13"/>
  </w:num>
  <w:num w:numId="9" w16cid:durableId="1936666179">
    <w:abstractNumId w:val="11"/>
  </w:num>
  <w:num w:numId="10" w16cid:durableId="645857572">
    <w:abstractNumId w:val="7"/>
  </w:num>
  <w:num w:numId="11" w16cid:durableId="1381857098">
    <w:abstractNumId w:val="15"/>
  </w:num>
  <w:num w:numId="12" w16cid:durableId="665060506">
    <w:abstractNumId w:val="4"/>
  </w:num>
  <w:num w:numId="13" w16cid:durableId="2059665555">
    <w:abstractNumId w:val="5"/>
  </w:num>
  <w:num w:numId="14" w16cid:durableId="742870182">
    <w:abstractNumId w:val="14"/>
  </w:num>
  <w:num w:numId="15" w16cid:durableId="319357246">
    <w:abstractNumId w:val="0"/>
  </w:num>
  <w:num w:numId="16" w16cid:durableId="909121342">
    <w:abstractNumId w:val="2"/>
  </w:num>
  <w:num w:numId="17" w16cid:durableId="435906217">
    <w:abstractNumId w:val="17"/>
  </w:num>
  <w:num w:numId="18" w16cid:durableId="1629162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D2"/>
    <w:rsid w:val="0000411D"/>
    <w:rsid w:val="0002082C"/>
    <w:rsid w:val="000416C9"/>
    <w:rsid w:val="000619D7"/>
    <w:rsid w:val="0006535C"/>
    <w:rsid w:val="00071C5C"/>
    <w:rsid w:val="00072FC0"/>
    <w:rsid w:val="00086C3C"/>
    <w:rsid w:val="00087825"/>
    <w:rsid w:val="00093E54"/>
    <w:rsid w:val="00093F0C"/>
    <w:rsid w:val="000A15AD"/>
    <w:rsid w:val="000A32C9"/>
    <w:rsid w:val="000B1FDF"/>
    <w:rsid w:val="000D0874"/>
    <w:rsid w:val="000D350A"/>
    <w:rsid w:val="000E1188"/>
    <w:rsid w:val="00106F3C"/>
    <w:rsid w:val="00121FE3"/>
    <w:rsid w:val="00124866"/>
    <w:rsid w:val="001264C2"/>
    <w:rsid w:val="00131125"/>
    <w:rsid w:val="00135874"/>
    <w:rsid w:val="00136795"/>
    <w:rsid w:val="00150A00"/>
    <w:rsid w:val="0015238D"/>
    <w:rsid w:val="00153E7A"/>
    <w:rsid w:val="00156F33"/>
    <w:rsid w:val="00166162"/>
    <w:rsid w:val="00166F92"/>
    <w:rsid w:val="00166FCF"/>
    <w:rsid w:val="00181523"/>
    <w:rsid w:val="001B09CC"/>
    <w:rsid w:val="001B4831"/>
    <w:rsid w:val="001B7E3C"/>
    <w:rsid w:val="001D275C"/>
    <w:rsid w:val="001D6BAB"/>
    <w:rsid w:val="001F60A6"/>
    <w:rsid w:val="00205CB2"/>
    <w:rsid w:val="00233FD9"/>
    <w:rsid w:val="00236B6D"/>
    <w:rsid w:val="0026507D"/>
    <w:rsid w:val="00276119"/>
    <w:rsid w:val="00281DEC"/>
    <w:rsid w:val="00297A47"/>
    <w:rsid w:val="002B31DA"/>
    <w:rsid w:val="002B5887"/>
    <w:rsid w:val="002B5FD4"/>
    <w:rsid w:val="002E34E4"/>
    <w:rsid w:val="002E71BE"/>
    <w:rsid w:val="002F2F68"/>
    <w:rsid w:val="00304C1B"/>
    <w:rsid w:val="00316D3B"/>
    <w:rsid w:val="00324D79"/>
    <w:rsid w:val="00347F1D"/>
    <w:rsid w:val="003776E7"/>
    <w:rsid w:val="003A1EBA"/>
    <w:rsid w:val="003B15D1"/>
    <w:rsid w:val="003B2833"/>
    <w:rsid w:val="003B2CAA"/>
    <w:rsid w:val="003C58EC"/>
    <w:rsid w:val="003D0356"/>
    <w:rsid w:val="003E2425"/>
    <w:rsid w:val="003E4DBA"/>
    <w:rsid w:val="003E5DC8"/>
    <w:rsid w:val="003F1197"/>
    <w:rsid w:val="00401A39"/>
    <w:rsid w:val="00411181"/>
    <w:rsid w:val="004114EE"/>
    <w:rsid w:val="00465CC3"/>
    <w:rsid w:val="004673F2"/>
    <w:rsid w:val="00482090"/>
    <w:rsid w:val="00482E33"/>
    <w:rsid w:val="00484C4A"/>
    <w:rsid w:val="0049175A"/>
    <w:rsid w:val="00491D58"/>
    <w:rsid w:val="004A1128"/>
    <w:rsid w:val="004A4843"/>
    <w:rsid w:val="004A5274"/>
    <w:rsid w:val="004D12BE"/>
    <w:rsid w:val="004D67A0"/>
    <w:rsid w:val="004E06C1"/>
    <w:rsid w:val="005023F1"/>
    <w:rsid w:val="005220B5"/>
    <w:rsid w:val="00532D7F"/>
    <w:rsid w:val="00541990"/>
    <w:rsid w:val="0055660C"/>
    <w:rsid w:val="00573A8A"/>
    <w:rsid w:val="005A52E2"/>
    <w:rsid w:val="005B26AA"/>
    <w:rsid w:val="005B5599"/>
    <w:rsid w:val="005C3969"/>
    <w:rsid w:val="005C3F5E"/>
    <w:rsid w:val="005D1562"/>
    <w:rsid w:val="005D1802"/>
    <w:rsid w:val="005D4DD8"/>
    <w:rsid w:val="005E4F50"/>
    <w:rsid w:val="005F7A77"/>
    <w:rsid w:val="006050BA"/>
    <w:rsid w:val="006165EF"/>
    <w:rsid w:val="0062178D"/>
    <w:rsid w:val="00624AE9"/>
    <w:rsid w:val="006462DB"/>
    <w:rsid w:val="006705BD"/>
    <w:rsid w:val="00670A9F"/>
    <w:rsid w:val="006862B8"/>
    <w:rsid w:val="0069064E"/>
    <w:rsid w:val="00697CD7"/>
    <w:rsid w:val="006B3ED8"/>
    <w:rsid w:val="006C087F"/>
    <w:rsid w:val="006C585B"/>
    <w:rsid w:val="006C7CB0"/>
    <w:rsid w:val="006D5526"/>
    <w:rsid w:val="006E4B1A"/>
    <w:rsid w:val="00704641"/>
    <w:rsid w:val="00731006"/>
    <w:rsid w:val="00737348"/>
    <w:rsid w:val="00760025"/>
    <w:rsid w:val="007672F8"/>
    <w:rsid w:val="007733CA"/>
    <w:rsid w:val="00773FED"/>
    <w:rsid w:val="0078063A"/>
    <w:rsid w:val="00786173"/>
    <w:rsid w:val="007A7013"/>
    <w:rsid w:val="007C45CB"/>
    <w:rsid w:val="007C6CFC"/>
    <w:rsid w:val="007D1E97"/>
    <w:rsid w:val="007D417C"/>
    <w:rsid w:val="007D7B25"/>
    <w:rsid w:val="007E21B4"/>
    <w:rsid w:val="007F325F"/>
    <w:rsid w:val="00820461"/>
    <w:rsid w:val="008354CF"/>
    <w:rsid w:val="008415BE"/>
    <w:rsid w:val="00842DF4"/>
    <w:rsid w:val="00854310"/>
    <w:rsid w:val="00873037"/>
    <w:rsid w:val="00873EEE"/>
    <w:rsid w:val="00874ECE"/>
    <w:rsid w:val="008B136A"/>
    <w:rsid w:val="008B2EB6"/>
    <w:rsid w:val="008D621C"/>
    <w:rsid w:val="008E23FC"/>
    <w:rsid w:val="00904EBE"/>
    <w:rsid w:val="00927407"/>
    <w:rsid w:val="00933050"/>
    <w:rsid w:val="00937CF0"/>
    <w:rsid w:val="00943D93"/>
    <w:rsid w:val="009456E2"/>
    <w:rsid w:val="00950D46"/>
    <w:rsid w:val="0096608C"/>
    <w:rsid w:val="0098157E"/>
    <w:rsid w:val="009834EB"/>
    <w:rsid w:val="00993037"/>
    <w:rsid w:val="009B4CD6"/>
    <w:rsid w:val="009B631D"/>
    <w:rsid w:val="009E3803"/>
    <w:rsid w:val="009F1E07"/>
    <w:rsid w:val="00A01AA1"/>
    <w:rsid w:val="00A12767"/>
    <w:rsid w:val="00A2083A"/>
    <w:rsid w:val="00A21AED"/>
    <w:rsid w:val="00A226B5"/>
    <w:rsid w:val="00A23C49"/>
    <w:rsid w:val="00A26CF7"/>
    <w:rsid w:val="00A42B99"/>
    <w:rsid w:val="00A44A0A"/>
    <w:rsid w:val="00A53220"/>
    <w:rsid w:val="00A56D15"/>
    <w:rsid w:val="00A71707"/>
    <w:rsid w:val="00AB1F0D"/>
    <w:rsid w:val="00AB653E"/>
    <w:rsid w:val="00AC344A"/>
    <w:rsid w:val="00AC3D04"/>
    <w:rsid w:val="00AD3AD4"/>
    <w:rsid w:val="00AF726C"/>
    <w:rsid w:val="00B01235"/>
    <w:rsid w:val="00B03CFE"/>
    <w:rsid w:val="00B163EF"/>
    <w:rsid w:val="00B33302"/>
    <w:rsid w:val="00B3437D"/>
    <w:rsid w:val="00B60701"/>
    <w:rsid w:val="00B644E5"/>
    <w:rsid w:val="00B73A82"/>
    <w:rsid w:val="00B859D2"/>
    <w:rsid w:val="00B87234"/>
    <w:rsid w:val="00BA281D"/>
    <w:rsid w:val="00BC4117"/>
    <w:rsid w:val="00BD0232"/>
    <w:rsid w:val="00BD2971"/>
    <w:rsid w:val="00BD665C"/>
    <w:rsid w:val="00BD709D"/>
    <w:rsid w:val="00BE34B9"/>
    <w:rsid w:val="00BE45F4"/>
    <w:rsid w:val="00BF6023"/>
    <w:rsid w:val="00BF71F1"/>
    <w:rsid w:val="00C0777E"/>
    <w:rsid w:val="00C22F82"/>
    <w:rsid w:val="00C4549B"/>
    <w:rsid w:val="00C62DA7"/>
    <w:rsid w:val="00C747FD"/>
    <w:rsid w:val="00C8738E"/>
    <w:rsid w:val="00C92532"/>
    <w:rsid w:val="00C962B3"/>
    <w:rsid w:val="00C977F7"/>
    <w:rsid w:val="00CA2CE8"/>
    <w:rsid w:val="00CA5D86"/>
    <w:rsid w:val="00CB040D"/>
    <w:rsid w:val="00CC3F48"/>
    <w:rsid w:val="00CC4CC5"/>
    <w:rsid w:val="00CC7C2F"/>
    <w:rsid w:val="00CD191D"/>
    <w:rsid w:val="00CD4B36"/>
    <w:rsid w:val="00CE4D9C"/>
    <w:rsid w:val="00CE636E"/>
    <w:rsid w:val="00CF18CC"/>
    <w:rsid w:val="00D00673"/>
    <w:rsid w:val="00D010C7"/>
    <w:rsid w:val="00D10393"/>
    <w:rsid w:val="00D209D9"/>
    <w:rsid w:val="00D2789F"/>
    <w:rsid w:val="00D32C4F"/>
    <w:rsid w:val="00D34B62"/>
    <w:rsid w:val="00D41015"/>
    <w:rsid w:val="00D46318"/>
    <w:rsid w:val="00D55B6D"/>
    <w:rsid w:val="00D60B54"/>
    <w:rsid w:val="00D65752"/>
    <w:rsid w:val="00D8760F"/>
    <w:rsid w:val="00D939D5"/>
    <w:rsid w:val="00D9562F"/>
    <w:rsid w:val="00D979CC"/>
    <w:rsid w:val="00DA402C"/>
    <w:rsid w:val="00DE0FBD"/>
    <w:rsid w:val="00DF283B"/>
    <w:rsid w:val="00DF3CF4"/>
    <w:rsid w:val="00DF3DF6"/>
    <w:rsid w:val="00E02D5D"/>
    <w:rsid w:val="00E25596"/>
    <w:rsid w:val="00E261D2"/>
    <w:rsid w:val="00E5412F"/>
    <w:rsid w:val="00E57B7A"/>
    <w:rsid w:val="00E66B2A"/>
    <w:rsid w:val="00E764D0"/>
    <w:rsid w:val="00E847EF"/>
    <w:rsid w:val="00EB2953"/>
    <w:rsid w:val="00ED22DA"/>
    <w:rsid w:val="00F007CA"/>
    <w:rsid w:val="00F038DF"/>
    <w:rsid w:val="00F04BDF"/>
    <w:rsid w:val="00F05871"/>
    <w:rsid w:val="00F12210"/>
    <w:rsid w:val="00F17B18"/>
    <w:rsid w:val="00F2231A"/>
    <w:rsid w:val="00F238E9"/>
    <w:rsid w:val="00F30DAE"/>
    <w:rsid w:val="00F3401F"/>
    <w:rsid w:val="00F4138F"/>
    <w:rsid w:val="00F43A3C"/>
    <w:rsid w:val="00F43F02"/>
    <w:rsid w:val="00F50B7F"/>
    <w:rsid w:val="00F52373"/>
    <w:rsid w:val="00F83F90"/>
    <w:rsid w:val="00FB51BF"/>
    <w:rsid w:val="00FC150F"/>
    <w:rsid w:val="00FC7762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65D27806"/>
  <w15:docId w15:val="{49A71380-0A3B-4263-8892-5C340983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E4D35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2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8D"/>
  </w:style>
  <w:style w:type="paragraph" w:styleId="Footer">
    <w:name w:val="footer"/>
    <w:basedOn w:val="Normal"/>
    <w:link w:val="FooterChar"/>
    <w:uiPriority w:val="99"/>
    <w:unhideWhenUsed/>
    <w:rsid w:val="0062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8D"/>
  </w:style>
  <w:style w:type="character" w:styleId="Hyperlink">
    <w:name w:val="Hyperlink"/>
    <w:basedOn w:val="DefaultParagraphFont"/>
    <w:unhideWhenUsed/>
    <w:rsid w:val="00621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78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672F8"/>
    <w:pPr>
      <w:widowControl w:val="0"/>
      <w:tabs>
        <w:tab w:val="left" w:pos="540"/>
      </w:tabs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Courier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672F8"/>
    <w:rPr>
      <w:rFonts w:ascii="Times New Roman" w:eastAsia="Times New Roman" w:hAnsi="Times New Roman" w:cs="Courier"/>
      <w:sz w:val="24"/>
      <w:szCs w:val="20"/>
    </w:rPr>
  </w:style>
  <w:style w:type="paragraph" w:customStyle="1" w:styleId="DateandRecipient">
    <w:name w:val="Date and Recipient"/>
    <w:basedOn w:val="Normal"/>
    <w:rsid w:val="007672F8"/>
    <w:pPr>
      <w:spacing w:before="600" w:after="0" w:line="240" w:lineRule="auto"/>
    </w:pPr>
    <w:rPr>
      <w:rFonts w:ascii="Calisto MT" w:eastAsia="Times New Roman" w:hAnsi="Calisto MT" w:cs="Times New Roman"/>
      <w:color w:val="404040"/>
      <w:sz w:val="20"/>
    </w:rPr>
  </w:style>
  <w:style w:type="paragraph" w:styleId="Closing">
    <w:name w:val="Closing"/>
    <w:basedOn w:val="Normal"/>
    <w:link w:val="ClosingChar"/>
    <w:unhideWhenUsed/>
    <w:rsid w:val="007672F8"/>
    <w:pPr>
      <w:spacing w:before="200" w:after="0" w:line="240" w:lineRule="auto"/>
    </w:pPr>
    <w:rPr>
      <w:rFonts w:ascii="Calisto MT" w:eastAsia="Times New Roman" w:hAnsi="Calisto MT" w:cs="Times New Roman"/>
      <w:color w:val="404040"/>
      <w:sz w:val="20"/>
    </w:rPr>
  </w:style>
  <w:style w:type="character" w:customStyle="1" w:styleId="ClosingChar">
    <w:name w:val="Closing Char"/>
    <w:basedOn w:val="DefaultParagraphFont"/>
    <w:link w:val="Closing"/>
    <w:rsid w:val="007672F8"/>
    <w:rPr>
      <w:rFonts w:ascii="Calisto MT" w:eastAsia="Times New Roman" w:hAnsi="Calisto MT" w:cs="Times New Roman"/>
      <w:color w:val="40404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D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303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3E7A"/>
    <w:pPr>
      <w:widowControl w:val="0"/>
      <w:autoSpaceDE w:val="0"/>
      <w:autoSpaceDN w:val="0"/>
      <w:spacing w:before="4" w:after="0" w:line="240" w:lineRule="auto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153E7A"/>
    <w:pPr>
      <w:widowControl w:val="0"/>
      <w:autoSpaceDE w:val="0"/>
      <w:autoSpaceDN w:val="0"/>
      <w:spacing w:after="0" w:line="240" w:lineRule="auto"/>
    </w:pPr>
  </w:style>
  <w:style w:type="paragraph" w:customStyle="1" w:styleId="Default">
    <w:name w:val="Default"/>
    <w:rsid w:val="00153E7A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153E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3E7A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7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B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2E34E4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text.com/case/st-bd-of-tax-comm-v-meth-home-for-the-aged" TargetMode="External"/><Relationship Id="rId13" Type="http://schemas.openxmlformats.org/officeDocument/2006/relationships/hyperlink" Target="https://www.in.gov/ibtr/files/Oak-Village-42-002-14-2-8-00001-etc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.gov/ibtr/files/Greencroft_Goshen_20-035-08-2-8-00001_2_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.gov/ibtr/files/WittenbergLutheranVillag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.gov/ibtr/files/GrandviewCareIn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justia.com/cases/indiana/tax-court/1996/49t10-9404-ta-00224-2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AC8A-36F8-43D2-8F86-DCEB5520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1724</Words>
  <Characters>9471</Characters>
  <Application>Microsoft Office Word</Application>
  <DocSecurity>0</DocSecurity>
  <Lines>144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EEssley</dc:creator>
  <cp:keywords/>
  <dc:description/>
  <cp:lastModifiedBy>Eric Essley</cp:lastModifiedBy>
  <cp:revision>2</cp:revision>
  <cp:lastPrinted>2025-02-03T22:08:00Z</cp:lastPrinted>
  <dcterms:created xsi:type="dcterms:W3CDTF">2025-12-12T20:31:00Z</dcterms:created>
  <dcterms:modified xsi:type="dcterms:W3CDTF">2025-12-12T20:31:00Z</dcterms:modified>
</cp:coreProperties>
</file>